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37" w:rsidRPr="00380EB9" w:rsidRDefault="00F3703C" w:rsidP="00574837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Licenční smlouva</w:t>
      </w:r>
    </w:p>
    <w:p w:rsidR="00574837" w:rsidRDefault="00F3703C" w:rsidP="00574837">
      <w:pPr>
        <w:spacing w:after="120"/>
        <w:contextualSpacing/>
        <w:jc w:val="center"/>
      </w:pPr>
      <w:r>
        <w:t xml:space="preserve">na </w:t>
      </w:r>
      <w:r w:rsidR="00E2504C">
        <w:t xml:space="preserve">logo a </w:t>
      </w:r>
      <w:proofErr w:type="spellStart"/>
      <w:r w:rsidR="00E2504C">
        <w:t>logotyp</w:t>
      </w:r>
      <w:proofErr w:type="spellEnd"/>
      <w:r w:rsidR="00E2504C">
        <w:t xml:space="preserve"> města</w:t>
      </w:r>
      <w:r w:rsidR="002E3630">
        <w:t xml:space="preserve"> dle §</w:t>
      </w:r>
      <w:r w:rsidR="002E3630" w:rsidRPr="00845C40">
        <w:t xml:space="preserve"> 2</w:t>
      </w:r>
      <w:r w:rsidR="002E3630">
        <w:t>358</w:t>
      </w:r>
      <w:r w:rsidR="002E3630" w:rsidRPr="00845C40">
        <w:t xml:space="preserve"> a </w:t>
      </w:r>
      <w:proofErr w:type="spellStart"/>
      <w:r w:rsidR="002E3630" w:rsidRPr="00845C40">
        <w:t>násl</w:t>
      </w:r>
      <w:proofErr w:type="spellEnd"/>
      <w:r w:rsidR="002E3630" w:rsidRPr="00845C40">
        <w:t>.</w:t>
      </w:r>
      <w:r w:rsidR="002E3630">
        <w:t xml:space="preserve"> občanského zákoníku</w:t>
      </w:r>
    </w:p>
    <w:p w:rsidR="00CD3AC1" w:rsidRPr="00380EB9" w:rsidRDefault="00CD3AC1" w:rsidP="00574837">
      <w:pPr>
        <w:spacing w:after="120"/>
        <w:contextualSpacing/>
        <w:jc w:val="center"/>
      </w:pPr>
      <w:r>
        <w:t xml:space="preserve">a smlouva o dílo dle § 2586 </w:t>
      </w:r>
      <w:r w:rsidRPr="00845C40">
        <w:t xml:space="preserve">a </w:t>
      </w:r>
      <w:proofErr w:type="spellStart"/>
      <w:r w:rsidRPr="00845C40">
        <w:t>násl</w:t>
      </w:r>
      <w:proofErr w:type="spellEnd"/>
      <w:r w:rsidRPr="00845C40">
        <w:t>.</w:t>
      </w:r>
      <w:r>
        <w:t xml:space="preserve"> občanského zákoníku</w:t>
      </w:r>
    </w:p>
    <w:p w:rsidR="00574837" w:rsidRPr="00380EB9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</w:rPr>
      </w:pPr>
    </w:p>
    <w:p w:rsidR="00574837" w:rsidRPr="00380EB9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jc w:val="both"/>
      </w:pPr>
    </w:p>
    <w:p w:rsidR="00574837" w:rsidRPr="00431ECF" w:rsidRDefault="00574837" w:rsidP="00574837">
      <w:pPr>
        <w:shd w:val="clear" w:color="auto" w:fill="FFFFFF"/>
        <w:spacing w:after="120"/>
        <w:contextualSpacing/>
        <w:jc w:val="both"/>
        <w:rPr>
          <w:b/>
          <w:color w:val="000000"/>
        </w:rPr>
      </w:pPr>
      <w:r w:rsidRPr="00431ECF">
        <w:rPr>
          <w:b/>
          <w:color w:val="000000"/>
        </w:rPr>
        <w:t>Smluvní strany </w:t>
      </w:r>
    </w:p>
    <w:p w:rsidR="00574837" w:rsidRPr="00380EB9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jc w:val="both"/>
      </w:pPr>
      <w:r w:rsidRPr="00380EB9">
        <w:tab/>
      </w:r>
    </w:p>
    <w:p w:rsidR="00574837" w:rsidRPr="00E2504C" w:rsidRDefault="00A30DC3" w:rsidP="00574837">
      <w:pPr>
        <w:widowControl w:val="0"/>
        <w:autoSpaceDE w:val="0"/>
        <w:autoSpaceDN w:val="0"/>
        <w:adjustRightInd w:val="0"/>
        <w:spacing w:after="120"/>
        <w:contextualSpacing/>
        <w:rPr>
          <w:highlight w:val="yellow"/>
        </w:rPr>
      </w:pPr>
      <w:r w:rsidRPr="00E2504C">
        <w:rPr>
          <w:highlight w:val="yellow"/>
        </w:rPr>
        <w:t>Jméno/</w:t>
      </w:r>
      <w:r w:rsidR="00574837" w:rsidRPr="00E2504C">
        <w:rPr>
          <w:highlight w:val="yellow"/>
        </w:rPr>
        <w:t>Firma:</w:t>
      </w:r>
      <w:r w:rsidR="00574837" w:rsidRPr="00E2504C">
        <w:rPr>
          <w:highlight w:val="yellow"/>
        </w:rPr>
        <w:tab/>
      </w:r>
      <w:r w:rsidR="00574837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b/>
          <w:highlight w:val="yellow"/>
        </w:rPr>
        <w:t>[</w:t>
      </w:r>
      <w:r w:rsidR="00F471A3" w:rsidRPr="00E2504C">
        <w:rPr>
          <w:b/>
          <w:highlight w:val="yellow"/>
          <w:shd w:val="clear" w:color="auto" w:fill="AEAAAA"/>
        </w:rPr>
        <w:t>doplní uchazeč</w:t>
      </w:r>
      <w:r w:rsidR="00F471A3" w:rsidRPr="00E2504C">
        <w:rPr>
          <w:b/>
          <w:highlight w:val="yellow"/>
        </w:rPr>
        <w:t>]</w:t>
      </w:r>
    </w:p>
    <w:p w:rsidR="00574837" w:rsidRPr="00E2504C" w:rsidRDefault="00A30DC3" w:rsidP="00574837">
      <w:pPr>
        <w:widowControl w:val="0"/>
        <w:autoSpaceDE w:val="0"/>
        <w:autoSpaceDN w:val="0"/>
        <w:adjustRightInd w:val="0"/>
        <w:spacing w:after="120"/>
        <w:contextualSpacing/>
        <w:rPr>
          <w:highlight w:val="yellow"/>
        </w:rPr>
      </w:pPr>
      <w:r w:rsidRPr="00E2504C">
        <w:rPr>
          <w:highlight w:val="yellow"/>
        </w:rPr>
        <w:t>RČ/</w:t>
      </w:r>
      <w:r w:rsidR="00574837" w:rsidRPr="00E2504C">
        <w:rPr>
          <w:highlight w:val="yellow"/>
        </w:rPr>
        <w:t>IČO:</w:t>
      </w:r>
      <w:r w:rsidR="00574837" w:rsidRPr="00E2504C">
        <w:rPr>
          <w:highlight w:val="yellow"/>
        </w:rPr>
        <w:tab/>
      </w:r>
      <w:r w:rsidR="00574837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b/>
          <w:highlight w:val="yellow"/>
        </w:rPr>
        <w:t>[</w:t>
      </w:r>
      <w:r w:rsidR="00F471A3" w:rsidRPr="00E2504C">
        <w:rPr>
          <w:b/>
          <w:highlight w:val="yellow"/>
          <w:shd w:val="clear" w:color="auto" w:fill="AEAAAA"/>
        </w:rPr>
        <w:t>doplní uchazeč</w:t>
      </w:r>
      <w:r w:rsidR="00F471A3" w:rsidRPr="00E2504C">
        <w:rPr>
          <w:b/>
          <w:highlight w:val="yellow"/>
        </w:rPr>
        <w:t>]</w:t>
      </w:r>
      <w:r w:rsidR="00574837" w:rsidRPr="00E2504C">
        <w:rPr>
          <w:highlight w:val="yellow"/>
        </w:rPr>
        <w:tab/>
      </w:r>
    </w:p>
    <w:p w:rsidR="00574837" w:rsidRPr="00E2504C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rPr>
          <w:highlight w:val="yellow"/>
        </w:rPr>
      </w:pPr>
      <w:r w:rsidRPr="00E2504C">
        <w:rPr>
          <w:highlight w:val="yellow"/>
        </w:rPr>
        <w:t>DIČ:</w:t>
      </w:r>
      <w:r w:rsidRPr="00E2504C">
        <w:rPr>
          <w:highlight w:val="yellow"/>
        </w:rPr>
        <w:tab/>
      </w:r>
      <w:r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highlight w:val="yellow"/>
        </w:rPr>
        <w:tab/>
      </w:r>
      <w:r w:rsidR="00F471A3" w:rsidRPr="00E2504C">
        <w:rPr>
          <w:b/>
          <w:highlight w:val="yellow"/>
        </w:rPr>
        <w:t>[</w:t>
      </w:r>
      <w:r w:rsidR="00F471A3" w:rsidRPr="00E2504C">
        <w:rPr>
          <w:b/>
          <w:highlight w:val="yellow"/>
          <w:shd w:val="clear" w:color="auto" w:fill="AEAAAA"/>
        </w:rPr>
        <w:t>doplní uchazeč</w:t>
      </w:r>
      <w:r w:rsidR="00F471A3" w:rsidRPr="00E2504C">
        <w:rPr>
          <w:b/>
          <w:highlight w:val="yellow"/>
        </w:rPr>
        <w:t>]</w:t>
      </w:r>
      <w:r w:rsidRPr="00E2504C">
        <w:rPr>
          <w:highlight w:val="yellow"/>
        </w:rPr>
        <w:tab/>
      </w:r>
    </w:p>
    <w:p w:rsidR="00805089" w:rsidRDefault="00A30DC3" w:rsidP="00574837">
      <w:pPr>
        <w:widowControl w:val="0"/>
        <w:autoSpaceDE w:val="0"/>
        <w:autoSpaceDN w:val="0"/>
        <w:adjustRightInd w:val="0"/>
        <w:spacing w:after="120"/>
        <w:contextualSpacing/>
      </w:pPr>
      <w:r w:rsidRPr="00E2504C">
        <w:rPr>
          <w:highlight w:val="yellow"/>
        </w:rPr>
        <w:t>Bytem/</w:t>
      </w:r>
      <w:r w:rsidR="00805089" w:rsidRPr="00E2504C">
        <w:rPr>
          <w:highlight w:val="yellow"/>
        </w:rPr>
        <w:t>se sídlem</w:t>
      </w:r>
      <w:r w:rsidR="00805089">
        <w:t xml:space="preserve"> </w:t>
      </w:r>
    </w:p>
    <w:p w:rsidR="00805089" w:rsidRDefault="00805089" w:rsidP="00574837">
      <w:pPr>
        <w:widowControl w:val="0"/>
        <w:autoSpaceDE w:val="0"/>
        <w:autoSpaceDN w:val="0"/>
        <w:adjustRightInd w:val="0"/>
        <w:spacing w:after="120"/>
        <w:contextualSpacing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574837" w:rsidRPr="00380EB9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jc w:val="both"/>
      </w:pPr>
      <w:r w:rsidRPr="00380EB9">
        <w:t>(dále jen „</w:t>
      </w:r>
      <w:r w:rsidR="00A30DC3">
        <w:t>autor</w:t>
      </w:r>
      <w:r w:rsidRPr="00380EB9">
        <w:t>“)</w:t>
      </w:r>
    </w:p>
    <w:p w:rsidR="00431ECF" w:rsidRDefault="00431ECF" w:rsidP="00574837">
      <w:pPr>
        <w:widowControl w:val="0"/>
        <w:autoSpaceDE w:val="0"/>
        <w:autoSpaceDN w:val="0"/>
        <w:adjustRightInd w:val="0"/>
        <w:spacing w:after="120"/>
        <w:contextualSpacing/>
        <w:jc w:val="both"/>
      </w:pPr>
    </w:p>
    <w:p w:rsidR="00574837" w:rsidRPr="00380EB9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jc w:val="both"/>
      </w:pPr>
      <w:r w:rsidRPr="00380EB9">
        <w:t>a</w:t>
      </w:r>
    </w:p>
    <w:p w:rsidR="00431ECF" w:rsidRDefault="00431ECF" w:rsidP="00574837">
      <w:pPr>
        <w:shd w:val="clear" w:color="auto" w:fill="FFFFFF"/>
        <w:spacing w:after="120"/>
        <w:contextualSpacing/>
        <w:jc w:val="both"/>
        <w:rPr>
          <w:b/>
          <w:color w:val="000000"/>
        </w:rPr>
      </w:pPr>
    </w:p>
    <w:p w:rsidR="00A30DC3" w:rsidRDefault="00A30DC3" w:rsidP="00574837">
      <w:pPr>
        <w:shd w:val="clear" w:color="auto" w:fill="FFFFFF"/>
        <w:spacing w:after="120"/>
        <w:contextualSpacing/>
        <w:jc w:val="both"/>
        <w:rPr>
          <w:b/>
          <w:color w:val="000000"/>
        </w:rPr>
      </w:pPr>
    </w:p>
    <w:p w:rsidR="00A30DC3" w:rsidRPr="00A30DC3" w:rsidRDefault="00A30DC3" w:rsidP="00574837">
      <w:pPr>
        <w:shd w:val="clear" w:color="auto" w:fill="FFFFFF"/>
        <w:spacing w:after="120"/>
        <w:contextualSpacing/>
        <w:jc w:val="both"/>
        <w:rPr>
          <w:b/>
          <w:color w:val="000000"/>
          <w:highlight w:val="yellow"/>
        </w:rPr>
      </w:pPr>
      <w:r w:rsidRPr="00A30DC3">
        <w:rPr>
          <w:b/>
          <w:color w:val="000000"/>
          <w:highlight w:val="yellow"/>
        </w:rPr>
        <w:t>Město Úvaly</w:t>
      </w:r>
    </w:p>
    <w:p w:rsidR="00A30DC3" w:rsidRPr="00A30DC3" w:rsidRDefault="00A30DC3" w:rsidP="00574837">
      <w:pPr>
        <w:shd w:val="clear" w:color="auto" w:fill="FFFFFF"/>
        <w:spacing w:after="120"/>
        <w:contextualSpacing/>
        <w:jc w:val="both"/>
        <w:rPr>
          <w:b/>
          <w:color w:val="000000"/>
          <w:highlight w:val="yellow"/>
        </w:rPr>
      </w:pPr>
      <w:r w:rsidRPr="00A30DC3">
        <w:rPr>
          <w:b/>
          <w:color w:val="000000"/>
          <w:highlight w:val="yellow"/>
        </w:rPr>
        <w:t>…</w:t>
      </w:r>
    </w:p>
    <w:p w:rsidR="00A30DC3" w:rsidRDefault="00A30DC3" w:rsidP="00574837">
      <w:pPr>
        <w:shd w:val="clear" w:color="auto" w:fill="FFFFFF"/>
        <w:spacing w:after="120"/>
        <w:contextualSpacing/>
        <w:jc w:val="both"/>
        <w:rPr>
          <w:b/>
          <w:color w:val="000000"/>
        </w:rPr>
      </w:pPr>
      <w:r w:rsidRPr="00A30DC3">
        <w:rPr>
          <w:b/>
          <w:color w:val="000000"/>
          <w:highlight w:val="yellow"/>
        </w:rPr>
        <w:t>…</w:t>
      </w:r>
    </w:p>
    <w:p w:rsidR="00574837" w:rsidRDefault="00574837" w:rsidP="00574837">
      <w:pPr>
        <w:shd w:val="clear" w:color="auto" w:fill="FFFFFF"/>
        <w:spacing w:after="120"/>
        <w:contextualSpacing/>
        <w:jc w:val="both"/>
        <w:rPr>
          <w:color w:val="000000"/>
          <w:highlight w:val="yellow"/>
        </w:rPr>
      </w:pPr>
    </w:p>
    <w:p w:rsidR="00574837" w:rsidRPr="00380EB9" w:rsidRDefault="00574837" w:rsidP="00574837">
      <w:pPr>
        <w:shd w:val="clear" w:color="auto" w:fill="FFFFFF"/>
        <w:spacing w:after="120"/>
        <w:contextualSpacing/>
        <w:jc w:val="both"/>
        <w:rPr>
          <w:color w:val="000000"/>
        </w:rPr>
      </w:pPr>
    </w:p>
    <w:p w:rsidR="00574837" w:rsidRPr="00380EB9" w:rsidRDefault="00574837" w:rsidP="00574837">
      <w:pPr>
        <w:shd w:val="clear" w:color="auto" w:fill="FFFFFF"/>
        <w:spacing w:after="120"/>
        <w:contextualSpacing/>
        <w:jc w:val="both"/>
        <w:rPr>
          <w:color w:val="000000"/>
        </w:rPr>
      </w:pPr>
      <w:r w:rsidRPr="00380EB9">
        <w:rPr>
          <w:color w:val="000000"/>
        </w:rPr>
        <w:t>(dále jen „objednatel“)</w:t>
      </w:r>
    </w:p>
    <w:p w:rsidR="00574837" w:rsidRPr="00380EB9" w:rsidRDefault="00574837" w:rsidP="00574837">
      <w:pPr>
        <w:shd w:val="clear" w:color="auto" w:fill="FFFFFF"/>
        <w:spacing w:after="120"/>
        <w:contextualSpacing/>
        <w:jc w:val="both"/>
        <w:rPr>
          <w:color w:val="000000"/>
        </w:rPr>
      </w:pPr>
    </w:p>
    <w:p w:rsidR="00574837" w:rsidRPr="00380EB9" w:rsidRDefault="00574837" w:rsidP="00574837">
      <w:pPr>
        <w:shd w:val="clear" w:color="auto" w:fill="FFFFFF"/>
        <w:spacing w:after="120"/>
        <w:contextualSpacing/>
        <w:jc w:val="both"/>
        <w:rPr>
          <w:color w:val="000000"/>
        </w:rPr>
      </w:pPr>
      <w:r w:rsidRPr="00380EB9">
        <w:rPr>
          <w:color w:val="000000"/>
        </w:rPr>
        <w:t>(společně též jako „smluvní strany“)</w:t>
      </w:r>
    </w:p>
    <w:p w:rsidR="00574837" w:rsidRPr="00380EB9" w:rsidRDefault="00574837" w:rsidP="00574837">
      <w:pPr>
        <w:widowControl w:val="0"/>
        <w:autoSpaceDE w:val="0"/>
        <w:autoSpaceDN w:val="0"/>
        <w:adjustRightInd w:val="0"/>
        <w:spacing w:after="120"/>
        <w:contextualSpacing/>
      </w:pPr>
      <w:r w:rsidRPr="00380EB9">
        <w:tab/>
      </w:r>
    </w:p>
    <w:p w:rsidR="00574837" w:rsidRPr="00845C40" w:rsidRDefault="00574837" w:rsidP="00574837">
      <w:pPr>
        <w:widowControl w:val="0"/>
        <w:autoSpaceDE w:val="0"/>
        <w:autoSpaceDN w:val="0"/>
        <w:adjustRightInd w:val="0"/>
        <w:spacing w:after="120"/>
        <w:contextualSpacing/>
        <w:jc w:val="both"/>
      </w:pPr>
      <w:r w:rsidRPr="00845C40">
        <w:t>sjednávají v souladu s </w:t>
      </w:r>
      <w:proofErr w:type="spellStart"/>
      <w:r w:rsidRPr="00845C40">
        <w:t>ust</w:t>
      </w:r>
      <w:proofErr w:type="spellEnd"/>
      <w:r w:rsidRPr="00845C40">
        <w:t>. § 2</w:t>
      </w:r>
      <w:r w:rsidR="00F3703C">
        <w:t>358</w:t>
      </w:r>
      <w:r w:rsidRPr="00845C40">
        <w:t xml:space="preserve"> a</w:t>
      </w:r>
      <w:r w:rsidR="000459F7" w:rsidRPr="00845C40">
        <w:t xml:space="preserve"> </w:t>
      </w:r>
      <w:proofErr w:type="spellStart"/>
      <w:r w:rsidRPr="00845C40">
        <w:t>nás</w:t>
      </w:r>
      <w:r w:rsidR="00431ECF" w:rsidRPr="00845C40">
        <w:t>l</w:t>
      </w:r>
      <w:proofErr w:type="spellEnd"/>
      <w:r w:rsidR="000459F7" w:rsidRPr="00845C40">
        <w:t>.</w:t>
      </w:r>
      <w:r w:rsidRPr="00845C40">
        <w:t xml:space="preserve"> </w:t>
      </w:r>
      <w:r w:rsidR="00CD3AC1">
        <w:t xml:space="preserve">a § 2586 </w:t>
      </w:r>
      <w:r w:rsidRPr="00845C40">
        <w:t xml:space="preserve">zákona 89/2012 Sb., občanský zákoník, </w:t>
      </w:r>
      <w:r w:rsidRPr="00845C40">
        <w:rPr>
          <w:b/>
        </w:rPr>
        <w:t xml:space="preserve">tuto smlouvu o </w:t>
      </w:r>
      <w:r w:rsidR="00F3703C">
        <w:rPr>
          <w:b/>
        </w:rPr>
        <w:t>licenci</w:t>
      </w:r>
      <w:r w:rsidR="00CD3AC1">
        <w:rPr>
          <w:b/>
        </w:rPr>
        <w:t xml:space="preserve"> a o dílo</w:t>
      </w:r>
      <w:r w:rsidRPr="00845C40">
        <w:rPr>
          <w:b/>
        </w:rPr>
        <w:t>:</w:t>
      </w:r>
    </w:p>
    <w:p w:rsidR="0000496E" w:rsidRPr="00870537" w:rsidRDefault="0000496E" w:rsidP="0000496E">
      <w:pPr>
        <w:shd w:val="clear" w:color="auto" w:fill="FFFFFF"/>
        <w:spacing w:after="120"/>
        <w:jc w:val="center"/>
        <w:rPr>
          <w:color w:val="000000"/>
        </w:rPr>
      </w:pPr>
    </w:p>
    <w:p w:rsidR="0000496E" w:rsidRPr="00FE684B" w:rsidRDefault="0000496E" w:rsidP="0000496E">
      <w:pPr>
        <w:jc w:val="center"/>
        <w:rPr>
          <w:b/>
          <w:bCs/>
          <w:color w:val="000000"/>
        </w:rPr>
      </w:pPr>
      <w:r w:rsidRPr="00FE684B">
        <w:rPr>
          <w:b/>
        </w:rPr>
        <w:t>I. PŘEDMĚT SMLOUVY</w:t>
      </w:r>
    </w:p>
    <w:p w:rsidR="0000496E" w:rsidRPr="0000496E" w:rsidRDefault="0000496E" w:rsidP="0000496E">
      <w:pPr>
        <w:widowControl w:val="0"/>
        <w:autoSpaceDE w:val="0"/>
        <w:autoSpaceDN w:val="0"/>
        <w:adjustRightInd w:val="0"/>
        <w:spacing w:after="240"/>
        <w:rPr>
          <w:b/>
          <w:bCs/>
        </w:rPr>
      </w:pPr>
    </w:p>
    <w:p w:rsidR="00290171" w:rsidRPr="00290171" w:rsidRDefault="00A30DC3" w:rsidP="00CD3AC1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/>
          <w:highlight w:val="yellow"/>
        </w:rPr>
      </w:pPr>
      <w:r w:rsidRPr="00CD3AC1">
        <w:rPr>
          <w:rStyle w:val="fontstyle01"/>
          <w:rFonts w:ascii="Times New Roman" w:hAnsi="Times New Roman"/>
        </w:rPr>
        <w:t xml:space="preserve">Autor vytvořil dílo představující </w:t>
      </w:r>
      <w:r w:rsidRPr="00CD3AC1">
        <w:rPr>
          <w:rStyle w:val="fontstyle01"/>
          <w:rFonts w:ascii="Times New Roman" w:hAnsi="Times New Roman"/>
          <w:b/>
        </w:rPr>
        <w:t xml:space="preserve">logo a </w:t>
      </w:r>
      <w:proofErr w:type="spellStart"/>
      <w:r w:rsidRPr="00CD3AC1">
        <w:rPr>
          <w:rStyle w:val="fontstyle01"/>
          <w:rFonts w:ascii="Times New Roman" w:hAnsi="Times New Roman"/>
          <w:b/>
        </w:rPr>
        <w:t>logotyp</w:t>
      </w:r>
      <w:proofErr w:type="spellEnd"/>
      <w:r w:rsidRPr="00CD3AC1">
        <w:rPr>
          <w:rStyle w:val="fontstyle01"/>
          <w:rFonts w:ascii="Times New Roman" w:hAnsi="Times New Roman"/>
          <w:b/>
        </w:rPr>
        <w:t xml:space="preserve"> objednatele </w:t>
      </w:r>
      <w:r w:rsidRPr="00CD3AC1">
        <w:rPr>
          <w:rStyle w:val="fontstyle01"/>
          <w:rFonts w:ascii="Times New Roman" w:hAnsi="Times New Roman"/>
        </w:rPr>
        <w:t xml:space="preserve">(města Úvaly a jeho orgánů), jak je zachyceno v nedílné </w:t>
      </w:r>
      <w:r w:rsidRPr="00CD3AC1">
        <w:rPr>
          <w:rStyle w:val="fontstyle01"/>
          <w:rFonts w:ascii="Times New Roman" w:hAnsi="Times New Roman"/>
          <w:b/>
        </w:rPr>
        <w:t>Příloze č. 1</w:t>
      </w:r>
      <w:r w:rsidRPr="00CD3AC1">
        <w:rPr>
          <w:rStyle w:val="fontstyle01"/>
          <w:rFonts w:ascii="Times New Roman" w:hAnsi="Times New Roman"/>
        </w:rPr>
        <w:t xml:space="preserve"> této</w:t>
      </w:r>
      <w:r w:rsidR="00CD3AC1" w:rsidRPr="00CD3AC1">
        <w:rPr>
          <w:rStyle w:val="fontstyle01"/>
          <w:rFonts w:ascii="Times New Roman" w:hAnsi="Times New Roman"/>
        </w:rPr>
        <w:t xml:space="preserve"> licenční smlouvy, jakož i v křivkách </w:t>
      </w:r>
      <w:r w:rsidR="00CD3AC1" w:rsidRPr="00CD3AC1">
        <w:rPr>
          <w:rStyle w:val="fontstyle01"/>
          <w:rFonts w:ascii="Times New Roman" w:hAnsi="Times New Roman"/>
          <w:highlight w:val="yellow"/>
        </w:rPr>
        <w:t xml:space="preserve">vektorové a rastrové grafiky </w:t>
      </w:r>
      <w:r w:rsidR="00CD3AC1" w:rsidRPr="00CD3AC1">
        <w:rPr>
          <w:rFonts w:ascii="Times New Roman" w:hAnsi="Times New Roman"/>
          <w:highlight w:val="yellow"/>
        </w:rPr>
        <w:t>*.</w:t>
      </w:r>
      <w:proofErr w:type="spellStart"/>
      <w:r w:rsidR="00CD3AC1" w:rsidRPr="00CD3AC1">
        <w:rPr>
          <w:rFonts w:ascii="Times New Roman" w:hAnsi="Times New Roman"/>
          <w:highlight w:val="yellow"/>
        </w:rPr>
        <w:t>ai</w:t>
      </w:r>
      <w:proofErr w:type="spellEnd"/>
      <w:r w:rsidR="00CD3AC1" w:rsidRPr="00CD3AC1">
        <w:rPr>
          <w:rFonts w:ascii="Times New Roman" w:hAnsi="Times New Roman"/>
          <w:highlight w:val="yellow"/>
        </w:rPr>
        <w:t>, *.</w:t>
      </w:r>
      <w:proofErr w:type="spellStart"/>
      <w:r w:rsidR="00CD3AC1" w:rsidRPr="00CD3AC1">
        <w:rPr>
          <w:rFonts w:ascii="Times New Roman" w:hAnsi="Times New Roman"/>
          <w:highlight w:val="yellow"/>
        </w:rPr>
        <w:t>cdr</w:t>
      </w:r>
      <w:proofErr w:type="spellEnd"/>
      <w:r w:rsidR="00CD3AC1" w:rsidRPr="00CD3AC1">
        <w:rPr>
          <w:rFonts w:ascii="Times New Roman" w:hAnsi="Times New Roman"/>
          <w:highlight w:val="yellow"/>
        </w:rPr>
        <w:t>, *.</w:t>
      </w:r>
      <w:proofErr w:type="spellStart"/>
      <w:r w:rsidR="00CD3AC1" w:rsidRPr="00CD3AC1">
        <w:rPr>
          <w:rFonts w:ascii="Times New Roman" w:hAnsi="Times New Roman"/>
          <w:highlight w:val="yellow"/>
        </w:rPr>
        <w:t>eps</w:t>
      </w:r>
      <w:proofErr w:type="spellEnd"/>
      <w:r w:rsidR="00CD3AC1" w:rsidRPr="00CD3AC1">
        <w:rPr>
          <w:rFonts w:ascii="Times New Roman" w:hAnsi="Times New Roman"/>
          <w:highlight w:val="yellow"/>
        </w:rPr>
        <w:t>, nebo *.</w:t>
      </w:r>
      <w:proofErr w:type="spellStart"/>
      <w:r w:rsidR="00CD3AC1" w:rsidRPr="00CD3AC1">
        <w:rPr>
          <w:rFonts w:ascii="Times New Roman" w:hAnsi="Times New Roman"/>
          <w:highlight w:val="yellow"/>
        </w:rPr>
        <w:t>pdf</w:t>
      </w:r>
      <w:proofErr w:type="spellEnd"/>
      <w:r w:rsidR="00CD3AC1" w:rsidRPr="00CD3AC1">
        <w:rPr>
          <w:rFonts w:ascii="Times New Roman" w:hAnsi="Times New Roman"/>
          <w:highlight w:val="yellow"/>
        </w:rPr>
        <w:t xml:space="preserve"> a bitmapové *.</w:t>
      </w:r>
      <w:proofErr w:type="spellStart"/>
      <w:proofErr w:type="gramStart"/>
      <w:r w:rsidR="00CD3AC1" w:rsidRPr="00CD3AC1">
        <w:rPr>
          <w:rFonts w:ascii="Times New Roman" w:hAnsi="Times New Roman"/>
          <w:highlight w:val="yellow"/>
        </w:rPr>
        <w:t>jpg</w:t>
      </w:r>
      <w:proofErr w:type="spellEnd"/>
      <w:r w:rsidR="00CD3AC1" w:rsidRPr="00CD3AC1">
        <w:rPr>
          <w:rFonts w:ascii="Times New Roman" w:hAnsi="Times New Roman"/>
          <w:highlight w:val="yellow"/>
        </w:rPr>
        <w:t>, *.</w:t>
      </w:r>
      <w:proofErr w:type="spellStart"/>
      <w:r w:rsidR="00CD3AC1" w:rsidRPr="00CD3AC1">
        <w:rPr>
          <w:rFonts w:ascii="Times New Roman" w:hAnsi="Times New Roman"/>
          <w:highlight w:val="yellow"/>
        </w:rPr>
        <w:t>png</w:t>
      </w:r>
      <w:proofErr w:type="spellEnd"/>
      <w:proofErr w:type="gramEnd"/>
      <w:r w:rsidR="00CD3AC1" w:rsidRPr="00CD3AC1">
        <w:rPr>
          <w:rFonts w:ascii="Times New Roman" w:hAnsi="Times New Roman"/>
          <w:highlight w:val="yellow"/>
        </w:rPr>
        <w:t>, nebo *.</w:t>
      </w:r>
      <w:proofErr w:type="spellStart"/>
      <w:r w:rsidR="00CD3AC1" w:rsidRPr="00CD3AC1">
        <w:rPr>
          <w:rFonts w:ascii="Times New Roman" w:hAnsi="Times New Roman"/>
          <w:highlight w:val="yellow"/>
        </w:rPr>
        <w:t>tiff</w:t>
      </w:r>
      <w:proofErr w:type="spellEnd"/>
      <w:r w:rsidR="00CD3AC1" w:rsidRPr="00CD3AC1">
        <w:rPr>
          <w:rFonts w:ascii="Times New Roman" w:hAnsi="Times New Roman"/>
          <w:highlight w:val="yellow"/>
        </w:rPr>
        <w:t>)</w:t>
      </w:r>
      <w:r w:rsidR="00CD3AC1">
        <w:rPr>
          <w:rFonts w:ascii="Times New Roman" w:hAnsi="Times New Roman"/>
          <w:highlight w:val="yellow"/>
        </w:rPr>
        <w:t>, které je zachyceno na předaném CD</w:t>
      </w:r>
      <w:r w:rsidR="00290171">
        <w:rPr>
          <w:rFonts w:ascii="Times New Roman" w:hAnsi="Times New Roman"/>
          <w:highlight w:val="yellow"/>
        </w:rPr>
        <w:t xml:space="preserve">; </w:t>
      </w:r>
    </w:p>
    <w:p w:rsidR="00290171" w:rsidRPr="00CD3AC1" w:rsidRDefault="00290171" w:rsidP="00290171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CD3AC1">
        <w:rPr>
          <w:rFonts w:ascii="Times New Roman" w:hAnsi="Times New Roman"/>
        </w:rPr>
        <w:t xml:space="preserve">utor se zavazuje k další </w:t>
      </w:r>
      <w:r>
        <w:rPr>
          <w:rFonts w:ascii="Times New Roman" w:hAnsi="Times New Roman"/>
        </w:rPr>
        <w:t xml:space="preserve">práci autora </w:t>
      </w:r>
      <w:r w:rsidRPr="00CD3AC1">
        <w:rPr>
          <w:rFonts w:ascii="Times New Roman" w:hAnsi="Times New Roman"/>
          <w:highlight w:val="yellow"/>
        </w:rPr>
        <w:t xml:space="preserve">v rozsahu </w:t>
      </w:r>
      <w:r w:rsidRPr="00CD3AC1">
        <w:rPr>
          <w:rFonts w:ascii="Times New Roman" w:hAnsi="Times New Roman"/>
          <w:color w:val="FF0000"/>
          <w:highlight w:val="yellow"/>
        </w:rPr>
        <w:t>100</w:t>
      </w:r>
      <w:r w:rsidRPr="00CD3AC1">
        <w:rPr>
          <w:rFonts w:ascii="Times New Roman" w:hAnsi="Times New Roman"/>
          <w:highlight w:val="yellow"/>
        </w:rPr>
        <w:t xml:space="preserve"> hodin</w:t>
      </w:r>
      <w:r>
        <w:rPr>
          <w:rFonts w:ascii="Times New Roman" w:hAnsi="Times New Roman"/>
        </w:rPr>
        <w:t xml:space="preserve"> dle </w:t>
      </w:r>
      <w:r w:rsidRPr="00CD3AC1">
        <w:rPr>
          <w:rFonts w:ascii="Times New Roman" w:hAnsi="Times New Roman"/>
        </w:rPr>
        <w:t xml:space="preserve">požadavků objednatele </w:t>
      </w:r>
      <w:r>
        <w:rPr>
          <w:rFonts w:ascii="Times New Roman" w:hAnsi="Times New Roman"/>
        </w:rPr>
        <w:t xml:space="preserve">na díle </w:t>
      </w:r>
      <w:r w:rsidRPr="00CD3AC1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zejm. </w:t>
      </w:r>
      <w:r w:rsidRPr="00CD3AC1">
        <w:rPr>
          <w:rFonts w:ascii="Times New Roman" w:hAnsi="Times New Roman"/>
        </w:rPr>
        <w:t xml:space="preserve">usazení loga na jednotlivé reklamní </w:t>
      </w:r>
      <w:r>
        <w:rPr>
          <w:rFonts w:ascii="Times New Roman" w:hAnsi="Times New Roman"/>
        </w:rPr>
        <w:t>p</w:t>
      </w:r>
      <w:r w:rsidRPr="00CD3AC1">
        <w:rPr>
          <w:rFonts w:ascii="Times New Roman" w:hAnsi="Times New Roman"/>
        </w:rPr>
        <w:t>ředměty, materiály apod.)</w:t>
      </w:r>
      <w:r>
        <w:rPr>
          <w:rFonts w:ascii="Times New Roman" w:hAnsi="Times New Roman"/>
        </w:rPr>
        <w:t xml:space="preserve"> </w:t>
      </w:r>
      <w:r w:rsidRPr="00CD3AC1">
        <w:rPr>
          <w:rStyle w:val="fontstyle01"/>
          <w:rFonts w:ascii="Times New Roman" w:hAnsi="Times New Roman"/>
        </w:rPr>
        <w:t xml:space="preserve">v křivkách </w:t>
      </w:r>
      <w:r w:rsidRPr="00CD3AC1">
        <w:rPr>
          <w:rStyle w:val="fontstyle01"/>
          <w:rFonts w:ascii="Times New Roman" w:hAnsi="Times New Roman"/>
          <w:highlight w:val="yellow"/>
        </w:rPr>
        <w:t xml:space="preserve">vektorové a rastrové grafiky </w:t>
      </w:r>
      <w:r w:rsidRPr="00CD3AC1">
        <w:rPr>
          <w:rFonts w:ascii="Times New Roman" w:hAnsi="Times New Roman"/>
          <w:highlight w:val="yellow"/>
        </w:rPr>
        <w:t>*.</w:t>
      </w:r>
      <w:proofErr w:type="spellStart"/>
      <w:r w:rsidRPr="00CD3AC1">
        <w:rPr>
          <w:rFonts w:ascii="Times New Roman" w:hAnsi="Times New Roman"/>
          <w:highlight w:val="yellow"/>
        </w:rPr>
        <w:t>ai</w:t>
      </w:r>
      <w:proofErr w:type="spellEnd"/>
      <w:r w:rsidRPr="00CD3AC1">
        <w:rPr>
          <w:rFonts w:ascii="Times New Roman" w:hAnsi="Times New Roman"/>
          <w:highlight w:val="yellow"/>
        </w:rPr>
        <w:t>, *.</w:t>
      </w:r>
      <w:proofErr w:type="spellStart"/>
      <w:r w:rsidRPr="00CD3AC1">
        <w:rPr>
          <w:rFonts w:ascii="Times New Roman" w:hAnsi="Times New Roman"/>
          <w:highlight w:val="yellow"/>
        </w:rPr>
        <w:t>cdr</w:t>
      </w:r>
      <w:proofErr w:type="spellEnd"/>
      <w:r w:rsidRPr="00CD3AC1">
        <w:rPr>
          <w:rFonts w:ascii="Times New Roman" w:hAnsi="Times New Roman"/>
          <w:highlight w:val="yellow"/>
        </w:rPr>
        <w:t>, *.</w:t>
      </w:r>
      <w:proofErr w:type="spellStart"/>
      <w:r w:rsidRPr="00CD3AC1">
        <w:rPr>
          <w:rFonts w:ascii="Times New Roman" w:hAnsi="Times New Roman"/>
          <w:highlight w:val="yellow"/>
        </w:rPr>
        <w:t>eps</w:t>
      </w:r>
      <w:proofErr w:type="spellEnd"/>
      <w:r w:rsidRPr="00CD3AC1">
        <w:rPr>
          <w:rFonts w:ascii="Times New Roman" w:hAnsi="Times New Roman"/>
          <w:highlight w:val="yellow"/>
        </w:rPr>
        <w:t>, nebo *.</w:t>
      </w:r>
      <w:proofErr w:type="spellStart"/>
      <w:r w:rsidRPr="00CD3AC1">
        <w:rPr>
          <w:rFonts w:ascii="Times New Roman" w:hAnsi="Times New Roman"/>
          <w:highlight w:val="yellow"/>
        </w:rPr>
        <w:t>pdf</w:t>
      </w:r>
      <w:proofErr w:type="spellEnd"/>
      <w:r w:rsidRPr="00CD3AC1">
        <w:rPr>
          <w:rFonts w:ascii="Times New Roman" w:hAnsi="Times New Roman"/>
          <w:highlight w:val="yellow"/>
        </w:rPr>
        <w:t xml:space="preserve"> a bitmapové *.</w:t>
      </w:r>
      <w:proofErr w:type="spellStart"/>
      <w:proofErr w:type="gramStart"/>
      <w:r w:rsidRPr="00CD3AC1">
        <w:rPr>
          <w:rFonts w:ascii="Times New Roman" w:hAnsi="Times New Roman"/>
          <w:highlight w:val="yellow"/>
        </w:rPr>
        <w:t>jpg</w:t>
      </w:r>
      <w:proofErr w:type="spellEnd"/>
      <w:r w:rsidRPr="00CD3AC1">
        <w:rPr>
          <w:rFonts w:ascii="Times New Roman" w:hAnsi="Times New Roman"/>
          <w:highlight w:val="yellow"/>
        </w:rPr>
        <w:t>, *.</w:t>
      </w:r>
      <w:proofErr w:type="spellStart"/>
      <w:r w:rsidRPr="00CD3AC1">
        <w:rPr>
          <w:rFonts w:ascii="Times New Roman" w:hAnsi="Times New Roman"/>
          <w:highlight w:val="yellow"/>
        </w:rPr>
        <w:t>png</w:t>
      </w:r>
      <w:proofErr w:type="spellEnd"/>
      <w:proofErr w:type="gramEnd"/>
      <w:r w:rsidRPr="00CD3AC1">
        <w:rPr>
          <w:rFonts w:ascii="Times New Roman" w:hAnsi="Times New Roman"/>
          <w:highlight w:val="yellow"/>
        </w:rPr>
        <w:t>, nebo *.</w:t>
      </w:r>
      <w:proofErr w:type="spellStart"/>
      <w:r w:rsidRPr="00CD3AC1">
        <w:rPr>
          <w:rFonts w:ascii="Times New Roman" w:hAnsi="Times New Roman"/>
          <w:highlight w:val="yellow"/>
        </w:rPr>
        <w:t>tiff</w:t>
      </w:r>
      <w:proofErr w:type="spellEnd"/>
      <w:r w:rsidRPr="00CD3AC1">
        <w:rPr>
          <w:rFonts w:ascii="Times New Roman" w:hAnsi="Times New Roman"/>
          <w:highlight w:val="yellow"/>
        </w:rPr>
        <w:t>)</w:t>
      </w:r>
      <w:r>
        <w:rPr>
          <w:rFonts w:ascii="Times New Roman" w:hAnsi="Times New Roman"/>
        </w:rPr>
        <w:t xml:space="preserve"> a další přípravy pro jakékoli další použití jako finálního nebo dílčího produktu;</w:t>
      </w:r>
    </w:p>
    <w:p w:rsidR="00CD3AC1" w:rsidRPr="00CD3AC1" w:rsidRDefault="00290171" w:rsidP="00290171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  <w:highlight w:val="yellow"/>
        </w:rPr>
      </w:pPr>
      <w:r w:rsidRPr="00CD3AC1">
        <w:rPr>
          <w:rStyle w:val="fontstyle01"/>
          <w:rFonts w:ascii="Times New Roman" w:hAnsi="Times New Roman"/>
        </w:rPr>
        <w:t xml:space="preserve">(dále </w:t>
      </w:r>
      <w:r>
        <w:rPr>
          <w:rStyle w:val="fontstyle01"/>
          <w:rFonts w:ascii="Times New Roman" w:hAnsi="Times New Roman"/>
        </w:rPr>
        <w:t xml:space="preserve">jen </w:t>
      </w:r>
      <w:r w:rsidRPr="00CD3AC1">
        <w:rPr>
          <w:rStyle w:val="fontstyle01"/>
          <w:rFonts w:ascii="Times New Roman" w:hAnsi="Times New Roman"/>
        </w:rPr>
        <w:t>„dílo“)</w:t>
      </w:r>
      <w:r w:rsidR="00CD3AC1">
        <w:rPr>
          <w:rFonts w:ascii="Times New Roman" w:hAnsi="Times New Roman"/>
          <w:highlight w:val="yellow"/>
        </w:rPr>
        <w:t>.</w:t>
      </w:r>
    </w:p>
    <w:p w:rsidR="00A30DC3" w:rsidRPr="00083D57" w:rsidRDefault="00A30DC3" w:rsidP="00A30DC3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/>
        </w:rPr>
      </w:pPr>
      <w:r w:rsidRPr="00A30DC3">
        <w:rPr>
          <w:rFonts w:ascii="Times New Roman" w:eastAsia="Times New Roman" w:hAnsi="Times New Roman"/>
          <w:color w:val="000000"/>
          <w:lang w:eastAsia="cs-CZ"/>
        </w:rPr>
        <w:t>Touto smlouvou poskytuje autor obj</w:t>
      </w:r>
      <w:r>
        <w:rPr>
          <w:rFonts w:ascii="Times New Roman" w:eastAsia="Times New Roman" w:hAnsi="Times New Roman"/>
          <w:color w:val="000000"/>
          <w:lang w:eastAsia="cs-CZ"/>
        </w:rPr>
        <w:t>e</w:t>
      </w:r>
      <w:r w:rsidRPr="00A30DC3">
        <w:rPr>
          <w:rFonts w:ascii="Times New Roman" w:eastAsia="Times New Roman" w:hAnsi="Times New Roman"/>
          <w:color w:val="000000"/>
          <w:lang w:eastAsia="cs-CZ"/>
        </w:rPr>
        <w:t>dnateli licenci, tedy oprávnění dílo ve sjednaném</w:t>
      </w:r>
      <w:r w:rsidRPr="00A30DC3">
        <w:rPr>
          <w:rFonts w:ascii="Times New Roman" w:eastAsia="Times New Roman" w:hAnsi="Times New Roman"/>
          <w:color w:val="000000"/>
          <w:lang w:eastAsia="cs-CZ"/>
        </w:rPr>
        <w:br/>
        <w:t>rozsahu, sjednaným způsobem a za sjednaných podmínek užít a objednatel se zavazuje</w:t>
      </w:r>
      <w:r w:rsidRPr="00A30DC3">
        <w:rPr>
          <w:rFonts w:ascii="Times New Roman" w:eastAsia="Times New Roman" w:hAnsi="Times New Roman"/>
          <w:color w:val="000000"/>
          <w:lang w:eastAsia="cs-CZ"/>
        </w:rPr>
        <w:br/>
        <w:t>poskytnout za to autorovi odměnu.</w:t>
      </w:r>
      <w:bookmarkStart w:id="0" w:name="_GoBack"/>
      <w:bookmarkEnd w:id="0"/>
    </w:p>
    <w:p w:rsidR="00083D57" w:rsidRDefault="00083D57" w:rsidP="00083D57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Dílo slouží k prezentaci objednatele, jeho orgánů, jakož i právnických osob s objednatelem provázaných, a i osob, kterým objednatel udělí podlicenci k dílu.</w:t>
      </w:r>
    </w:p>
    <w:p w:rsidR="00083D57" w:rsidRPr="00CD3AC1" w:rsidRDefault="00083D57" w:rsidP="00083D57">
      <w:pPr>
        <w:pStyle w:val="Odstavecseseznamem"/>
        <w:numPr>
          <w:ilvl w:val="0"/>
          <w:numId w:val="35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Objednatel prohlašuje, že </w:t>
      </w:r>
      <w:r w:rsidRPr="0000496E">
        <w:rPr>
          <w:rFonts w:ascii="Times New Roman" w:hAnsi="Times New Roman"/>
        </w:rPr>
        <w:t xml:space="preserve">užití </w:t>
      </w:r>
      <w:r>
        <w:rPr>
          <w:rFonts w:ascii="Times New Roman" w:hAnsi="Times New Roman"/>
        </w:rPr>
        <w:t xml:space="preserve">díla nebude </w:t>
      </w:r>
      <w:r w:rsidRPr="0000496E">
        <w:rPr>
          <w:rFonts w:ascii="Times New Roman" w:hAnsi="Times New Roman"/>
        </w:rPr>
        <w:t>v rozporu se smyslem a účelem této smlouvy a v rozporu s dobrými mravy.</w:t>
      </w:r>
    </w:p>
    <w:p w:rsidR="00083D57" w:rsidRDefault="00083D57" w:rsidP="00083D57">
      <w:pPr>
        <w:spacing w:after="120"/>
        <w:jc w:val="both"/>
      </w:pPr>
    </w:p>
    <w:p w:rsidR="00D56C97" w:rsidRPr="0000496E" w:rsidRDefault="0000496E" w:rsidP="0000496E">
      <w:pPr>
        <w:jc w:val="center"/>
        <w:rPr>
          <w:b/>
          <w:bCs/>
          <w:color w:val="000000"/>
        </w:rPr>
      </w:pPr>
      <w:r>
        <w:rPr>
          <w:b/>
          <w:caps/>
        </w:rPr>
        <w:t xml:space="preserve">II. </w:t>
      </w:r>
      <w:r w:rsidR="00D56C97" w:rsidRPr="0000496E">
        <w:rPr>
          <w:b/>
          <w:caps/>
        </w:rPr>
        <w:t>Licenční ujednání autorské</w:t>
      </w:r>
    </w:p>
    <w:p w:rsidR="00D56C97" w:rsidRPr="00657682" w:rsidRDefault="00D56C97" w:rsidP="00D56C97">
      <w:pPr>
        <w:pStyle w:val="Bezmezer"/>
        <w:jc w:val="both"/>
        <w:rPr>
          <w:b/>
        </w:rPr>
      </w:pPr>
    </w:p>
    <w:p w:rsidR="00D56C97" w:rsidRPr="00657682" w:rsidRDefault="00A30DC3" w:rsidP="00D56C9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Dílo</w:t>
      </w:r>
      <w:r w:rsidR="00D56C97" w:rsidRPr="00657682">
        <w:rPr>
          <w:rFonts w:ascii="Times New Roman" w:hAnsi="Times New Roman"/>
        </w:rPr>
        <w:t xml:space="preserve"> podle této smlouvy </w:t>
      </w:r>
      <w:r w:rsidR="00F3703C">
        <w:rPr>
          <w:rFonts w:ascii="Times New Roman" w:hAnsi="Times New Roman"/>
        </w:rPr>
        <w:t xml:space="preserve">(článek </w:t>
      </w:r>
      <w:r>
        <w:rPr>
          <w:rFonts w:ascii="Times New Roman" w:hAnsi="Times New Roman"/>
        </w:rPr>
        <w:t>I.</w:t>
      </w:r>
      <w:r w:rsidR="00F3703C">
        <w:rPr>
          <w:rFonts w:ascii="Times New Roman" w:hAnsi="Times New Roman"/>
        </w:rPr>
        <w:t xml:space="preserve">) </w:t>
      </w:r>
      <w:r w:rsidR="00D56C97" w:rsidRPr="00657682">
        <w:rPr>
          <w:rFonts w:ascii="Times New Roman" w:hAnsi="Times New Roman"/>
        </w:rPr>
        <w:t xml:space="preserve">včetně jejího návrhu či konceptu je autorským dílem v souladu s autorským zákonem. </w:t>
      </w:r>
    </w:p>
    <w:p w:rsidR="00A30DC3" w:rsidRPr="00083D57" w:rsidRDefault="00A30DC3" w:rsidP="00D56C9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D56C97" w:rsidRPr="00657682">
        <w:rPr>
          <w:rFonts w:ascii="Times New Roman" w:hAnsi="Times New Roman"/>
        </w:rPr>
        <w:t xml:space="preserve"> uděluje v souladu s ustanovením § 2358 a </w:t>
      </w:r>
      <w:proofErr w:type="spellStart"/>
      <w:r w:rsidR="00D56C97" w:rsidRPr="00657682">
        <w:rPr>
          <w:rFonts w:ascii="Times New Roman" w:hAnsi="Times New Roman"/>
        </w:rPr>
        <w:t>násl</w:t>
      </w:r>
      <w:proofErr w:type="spellEnd"/>
      <w:r w:rsidR="00D56C97" w:rsidRPr="00657682">
        <w:rPr>
          <w:rFonts w:ascii="Times New Roman" w:hAnsi="Times New Roman"/>
        </w:rPr>
        <w:t xml:space="preserve">. občanského zákoníku </w:t>
      </w:r>
      <w:r w:rsidR="00957E9F">
        <w:rPr>
          <w:rFonts w:ascii="Times New Roman" w:hAnsi="Times New Roman"/>
        </w:rPr>
        <w:t xml:space="preserve">a zákona 121/2000 Sb., autorský zákon, </w:t>
      </w:r>
      <w:r w:rsidR="00D56C97" w:rsidRPr="00657682">
        <w:rPr>
          <w:rFonts w:ascii="Times New Roman" w:hAnsi="Times New Roman"/>
        </w:rPr>
        <w:t xml:space="preserve">objednateli výhradní oprávnění k výkonu práva dílo užít v </w:t>
      </w:r>
      <w:r w:rsidR="00D56C97" w:rsidRPr="00083D57">
        <w:rPr>
          <w:rFonts w:ascii="Times New Roman" w:hAnsi="Times New Roman"/>
        </w:rPr>
        <w:t>rozsahu stanoveném touto Smlouvou (dále jen „výhradní licence“) s tím, že objednatel není povinen posky</w:t>
      </w:r>
      <w:r w:rsidR="00083D57" w:rsidRPr="00083D57">
        <w:rPr>
          <w:rFonts w:ascii="Times New Roman" w:hAnsi="Times New Roman"/>
        </w:rPr>
        <w:t>tnutou výhradní licenci využít.</w:t>
      </w:r>
    </w:p>
    <w:p w:rsidR="00083D57" w:rsidRPr="00083D57" w:rsidRDefault="00083D57" w:rsidP="00083D5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083D57">
        <w:rPr>
          <w:rStyle w:val="fontstyle01"/>
          <w:rFonts w:ascii="Times New Roman" w:hAnsi="Times New Roman"/>
        </w:rPr>
        <w:t>Licence není nijak omezena co do jednotlivých způsobů užití díla. Rozsah jednotlivých</w:t>
      </w:r>
      <w:r w:rsidRPr="00083D57">
        <w:rPr>
          <w:rFonts w:ascii="Times New Roman" w:hAnsi="Times New Roman"/>
          <w:color w:val="000000"/>
        </w:rPr>
        <w:br/>
      </w:r>
      <w:r w:rsidRPr="00083D57">
        <w:rPr>
          <w:rStyle w:val="fontstyle01"/>
          <w:rFonts w:ascii="Times New Roman" w:hAnsi="Times New Roman"/>
        </w:rPr>
        <w:t>způsobů užití díla není nijak omezen co do množství, místa ani času.</w:t>
      </w:r>
    </w:p>
    <w:p w:rsidR="00D56C97" w:rsidRPr="00657682" w:rsidRDefault="00D56C97" w:rsidP="00A30DC3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083D57">
        <w:rPr>
          <w:rFonts w:ascii="Times New Roman" w:hAnsi="Times New Roman"/>
        </w:rPr>
        <w:t>Za účelem odstranění jakýchkoli pochybností se autorským dílem pro účely této smlouvy</w:t>
      </w:r>
      <w:r w:rsidRPr="0061255F">
        <w:rPr>
          <w:rFonts w:ascii="Times New Roman" w:hAnsi="Times New Roman"/>
        </w:rPr>
        <w:t xml:space="preserve"> rozumí </w:t>
      </w:r>
      <w:r w:rsidR="00A30DC3">
        <w:rPr>
          <w:rFonts w:ascii="Times New Roman" w:hAnsi="Times New Roman"/>
        </w:rPr>
        <w:t xml:space="preserve">dílo uvedené v </w:t>
      </w:r>
      <w:r w:rsidR="00A30DC3" w:rsidRPr="00A30DC3">
        <w:rPr>
          <w:rStyle w:val="fontstyle01"/>
          <w:rFonts w:ascii="Times New Roman" w:hAnsi="Times New Roman"/>
          <w:b/>
        </w:rPr>
        <w:t>Příloze č. 1</w:t>
      </w:r>
      <w:r w:rsidR="00A30DC3" w:rsidRPr="00A30DC3">
        <w:rPr>
          <w:rStyle w:val="fontstyle01"/>
          <w:rFonts w:ascii="Times New Roman" w:hAnsi="Times New Roman"/>
        </w:rPr>
        <w:t xml:space="preserve"> </w:t>
      </w:r>
      <w:r w:rsidR="00A30DC3">
        <w:rPr>
          <w:rStyle w:val="fontstyle01"/>
          <w:rFonts w:ascii="Times New Roman" w:hAnsi="Times New Roman"/>
        </w:rPr>
        <w:t xml:space="preserve">a </w:t>
      </w:r>
      <w:r w:rsidRPr="0061255F">
        <w:rPr>
          <w:rFonts w:ascii="Times New Roman" w:hAnsi="Times New Roman"/>
        </w:rPr>
        <w:t xml:space="preserve">dokumentace popsaná </w:t>
      </w:r>
      <w:r w:rsidR="00A30DC3">
        <w:rPr>
          <w:rFonts w:ascii="Times New Roman" w:hAnsi="Times New Roman"/>
        </w:rPr>
        <w:t>na jeho základě k vytvoření rozmnoženin a odvozenin od díla</w:t>
      </w:r>
      <w:r w:rsidRPr="0061255F">
        <w:rPr>
          <w:rFonts w:ascii="Times New Roman" w:hAnsi="Times New Roman"/>
        </w:rPr>
        <w:t xml:space="preserve">. </w:t>
      </w:r>
      <w:r w:rsidR="00B2042E" w:rsidRPr="0061255F">
        <w:rPr>
          <w:rFonts w:ascii="Times New Roman" w:hAnsi="Times New Roman"/>
        </w:rPr>
        <w:t xml:space="preserve">Pro tento účel se </w:t>
      </w:r>
      <w:r w:rsidR="00A30DC3">
        <w:rPr>
          <w:rFonts w:ascii="Times New Roman" w:hAnsi="Times New Roman"/>
        </w:rPr>
        <w:t>autor</w:t>
      </w:r>
      <w:r w:rsidR="00B2042E" w:rsidRPr="0061255F">
        <w:rPr>
          <w:rFonts w:ascii="Times New Roman" w:hAnsi="Times New Roman"/>
        </w:rPr>
        <w:t xml:space="preserve"> zavazuje poskytnout objednateli </w:t>
      </w:r>
      <w:r w:rsidR="00B2042E" w:rsidRPr="00EA4E4D">
        <w:rPr>
          <w:rFonts w:ascii="Times New Roman" w:hAnsi="Times New Roman"/>
          <w:b/>
        </w:rPr>
        <w:t xml:space="preserve">výhradní licenci na </w:t>
      </w:r>
      <w:r w:rsidR="0061255F" w:rsidRPr="00EA4E4D">
        <w:rPr>
          <w:rFonts w:ascii="Times New Roman" w:hAnsi="Times New Roman"/>
          <w:b/>
        </w:rPr>
        <w:t xml:space="preserve">dobu trvání majetkových autorských práv </w:t>
      </w:r>
      <w:r w:rsidR="00A30DC3" w:rsidRPr="00EA4E4D">
        <w:rPr>
          <w:rFonts w:ascii="Times New Roman" w:hAnsi="Times New Roman"/>
          <w:b/>
        </w:rPr>
        <w:t>autora</w:t>
      </w:r>
      <w:r w:rsidR="0061255F" w:rsidRPr="00EA4E4D">
        <w:rPr>
          <w:rFonts w:ascii="Times New Roman" w:hAnsi="Times New Roman"/>
          <w:b/>
        </w:rPr>
        <w:t xml:space="preserve"> </w:t>
      </w:r>
      <w:r w:rsidR="00B2042E" w:rsidRPr="00EA4E4D">
        <w:rPr>
          <w:rFonts w:ascii="Times New Roman" w:hAnsi="Times New Roman"/>
          <w:b/>
        </w:rPr>
        <w:t>včetně všech práv souvisejících</w:t>
      </w:r>
      <w:r w:rsidR="00B2042E" w:rsidRPr="0061255F">
        <w:rPr>
          <w:rFonts w:ascii="Times New Roman" w:hAnsi="Times New Roman"/>
        </w:rPr>
        <w:t>.</w:t>
      </w:r>
    </w:p>
    <w:p w:rsidR="00A30DC3" w:rsidRDefault="00D56C97" w:rsidP="00D56C9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 w:rsidRPr="0000496E">
        <w:rPr>
          <w:rFonts w:ascii="Times New Roman" w:hAnsi="Times New Roman"/>
        </w:rPr>
        <w:t xml:space="preserve">Objednatel je oprávněn upravit či měnit shora popsané autorské dílo nebo jeho část takovým způsobem, který nesníží hodnotu shora popsaného autorského díla. </w:t>
      </w:r>
    </w:p>
    <w:p w:rsidR="00083D57" w:rsidRPr="00083D57" w:rsidRDefault="00D56C97" w:rsidP="00A30DC3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083D57">
        <w:rPr>
          <w:rFonts w:ascii="Times New Roman" w:hAnsi="Times New Roman"/>
        </w:rPr>
        <w:t xml:space="preserve">V rámci poskytnuté </w:t>
      </w:r>
      <w:r w:rsidR="00EA4E4D">
        <w:rPr>
          <w:rFonts w:ascii="Times New Roman" w:hAnsi="Times New Roman"/>
        </w:rPr>
        <w:t xml:space="preserve">výhradní </w:t>
      </w:r>
      <w:r w:rsidRPr="00083D57">
        <w:rPr>
          <w:rFonts w:ascii="Times New Roman" w:hAnsi="Times New Roman"/>
        </w:rPr>
        <w:t xml:space="preserve">licence je objednatel zejména oprávněn </w:t>
      </w:r>
      <w:r w:rsidRPr="00091DBA">
        <w:rPr>
          <w:rFonts w:ascii="Times New Roman" w:hAnsi="Times New Roman"/>
          <w:b/>
        </w:rPr>
        <w:t>užít</w:t>
      </w:r>
      <w:r w:rsidR="00091DBA" w:rsidRPr="00091DBA">
        <w:rPr>
          <w:rFonts w:ascii="Times New Roman" w:hAnsi="Times New Roman"/>
          <w:b/>
        </w:rPr>
        <w:t xml:space="preserve">, rozmnožovat, rozšiřovat, pronajímat, půjčovat, vystavovat a sdělovat veřejnosti </w:t>
      </w:r>
      <w:r w:rsidRPr="00091DBA">
        <w:rPr>
          <w:rFonts w:ascii="Times New Roman" w:hAnsi="Times New Roman"/>
          <w:b/>
        </w:rPr>
        <w:t>dílo</w:t>
      </w:r>
      <w:r w:rsidRPr="00083D57">
        <w:rPr>
          <w:rFonts w:ascii="Times New Roman" w:hAnsi="Times New Roman"/>
        </w:rPr>
        <w:t xml:space="preserve"> </w:t>
      </w:r>
      <w:r w:rsidR="00A30DC3" w:rsidRPr="00083D57">
        <w:rPr>
          <w:rFonts w:ascii="Times New Roman" w:hAnsi="Times New Roman"/>
        </w:rPr>
        <w:t xml:space="preserve">jakýmkoli známým způsobem </w:t>
      </w:r>
      <w:r w:rsidRPr="00083D57">
        <w:rPr>
          <w:rFonts w:ascii="Times New Roman" w:hAnsi="Times New Roman"/>
        </w:rPr>
        <w:t>v celku nebo v</w:t>
      </w:r>
      <w:r w:rsidR="00A30DC3" w:rsidRPr="00083D57">
        <w:rPr>
          <w:rFonts w:ascii="Times New Roman" w:hAnsi="Times New Roman"/>
        </w:rPr>
        <w:t> </w:t>
      </w:r>
      <w:r w:rsidRPr="00083D57">
        <w:rPr>
          <w:rFonts w:ascii="Times New Roman" w:hAnsi="Times New Roman"/>
        </w:rPr>
        <w:t>části</w:t>
      </w:r>
      <w:r w:rsidR="00A30DC3" w:rsidRPr="00083D57">
        <w:rPr>
          <w:rFonts w:ascii="Times New Roman" w:hAnsi="Times New Roman"/>
        </w:rPr>
        <w:t xml:space="preserve"> </w:t>
      </w:r>
      <w:r w:rsidRPr="00083D57">
        <w:rPr>
          <w:rFonts w:ascii="Times New Roman" w:hAnsi="Times New Roman"/>
        </w:rPr>
        <w:t xml:space="preserve">dle uvážení objednatele, pokud tím nebude porušen smysl a účel této smlouvy, </w:t>
      </w:r>
      <w:r w:rsidR="00091DBA">
        <w:rPr>
          <w:rFonts w:ascii="Times New Roman" w:hAnsi="Times New Roman"/>
        </w:rPr>
        <w:t xml:space="preserve">a to </w:t>
      </w:r>
      <w:r w:rsidR="00083D57" w:rsidRPr="00083D57">
        <w:rPr>
          <w:rFonts w:ascii="Times New Roman" w:hAnsi="Times New Roman"/>
        </w:rPr>
        <w:t>jakýmikoli prostředky a jakoukoli formou v jakýchkoli materiálových i technických provedeních na jakékoli př</w:t>
      </w:r>
      <w:r w:rsidR="00083D57">
        <w:rPr>
          <w:rFonts w:ascii="Times New Roman" w:hAnsi="Times New Roman"/>
        </w:rPr>
        <w:t xml:space="preserve">edměty dle uvážení objednatele, </w:t>
      </w:r>
      <w:r w:rsidR="00083D57" w:rsidRPr="0000496E">
        <w:rPr>
          <w:rFonts w:ascii="Times New Roman" w:hAnsi="Times New Roman"/>
        </w:rPr>
        <w:t>a to trvale nebo dočasně jakýmikoliv</w:t>
      </w:r>
      <w:r w:rsidR="007E5FB2">
        <w:rPr>
          <w:rFonts w:ascii="Times New Roman" w:hAnsi="Times New Roman"/>
        </w:rPr>
        <w:t xml:space="preserve"> prostředky a v jakékoliv formě, </w:t>
      </w:r>
      <w:r w:rsidR="00083D57" w:rsidRPr="0000496E">
        <w:rPr>
          <w:rFonts w:ascii="Times New Roman" w:hAnsi="Times New Roman"/>
        </w:rPr>
        <w:t>a pokud  jde o  kopie v  elektronické formě, jak ve spojení on-line, tak i off-line</w:t>
      </w:r>
      <w:r w:rsidR="00091DBA">
        <w:rPr>
          <w:rFonts w:ascii="Times New Roman" w:hAnsi="Times New Roman"/>
        </w:rPr>
        <w:t xml:space="preserve"> živým provozováním, přenosem a provozováním záznamu a jeho přenosu včetně vysílání rozhlasem, televizí a jakýmikoli dalšími dosud známými přenosovými prostředky (např. internet</w:t>
      </w:r>
      <w:r w:rsidR="007E5FB2">
        <w:rPr>
          <w:rFonts w:ascii="Times New Roman" w:hAnsi="Times New Roman"/>
        </w:rPr>
        <w:t xml:space="preserve"> – </w:t>
      </w:r>
      <w:proofErr w:type="spellStart"/>
      <w:r w:rsidR="007E5FB2">
        <w:rPr>
          <w:rFonts w:ascii="Times New Roman" w:hAnsi="Times New Roman"/>
        </w:rPr>
        <w:t>stream</w:t>
      </w:r>
      <w:proofErr w:type="spellEnd"/>
      <w:r w:rsidR="00091DBA">
        <w:rPr>
          <w:rFonts w:ascii="Times New Roman" w:hAnsi="Times New Roman"/>
        </w:rPr>
        <w:t>)</w:t>
      </w:r>
      <w:r w:rsidR="007E5FB2">
        <w:rPr>
          <w:rFonts w:ascii="Times New Roman" w:hAnsi="Times New Roman"/>
        </w:rPr>
        <w:t>.</w:t>
      </w:r>
    </w:p>
    <w:p w:rsidR="00083D57" w:rsidRPr="005C7159" w:rsidRDefault="00083D57" w:rsidP="00A30DC3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  <w:color w:val="000000"/>
        </w:rPr>
      </w:pPr>
      <w:r w:rsidRPr="005C7159">
        <w:rPr>
          <w:rStyle w:val="fontstyle01"/>
          <w:rFonts w:ascii="Times New Roman" w:hAnsi="Times New Roman"/>
        </w:rPr>
        <w:t>Objednatel je oprávněn změnit dílo co do jeho velikosti, barevných odstínů, druhu a</w:t>
      </w:r>
      <w:r w:rsidRPr="005C7159">
        <w:rPr>
          <w:rFonts w:ascii="Times New Roman" w:hAnsi="Times New Roman"/>
          <w:color w:val="000000"/>
        </w:rPr>
        <w:br/>
      </w:r>
      <w:r w:rsidRPr="005C7159">
        <w:rPr>
          <w:rStyle w:val="fontstyle01"/>
          <w:rFonts w:ascii="Times New Roman" w:hAnsi="Times New Roman"/>
        </w:rPr>
        <w:t>tvaru písma a je oprávněn dílo spojit s jiným dílem, případně zařadit do díla</w:t>
      </w:r>
      <w:r w:rsidRPr="005C7159">
        <w:rPr>
          <w:rFonts w:ascii="Times New Roman" w:hAnsi="Times New Roman"/>
          <w:color w:val="000000"/>
        </w:rPr>
        <w:br/>
      </w:r>
      <w:r w:rsidRPr="005C7159">
        <w:rPr>
          <w:rStyle w:val="fontstyle01"/>
          <w:rFonts w:ascii="Times New Roman" w:hAnsi="Times New Roman"/>
        </w:rPr>
        <w:t>souborného</w:t>
      </w:r>
      <w:r w:rsidR="00DF4CF8">
        <w:rPr>
          <w:rStyle w:val="fontstyle01"/>
          <w:rFonts w:ascii="Times New Roman" w:hAnsi="Times New Roman"/>
        </w:rPr>
        <w:t>, audiovizuálního nebo počítačového programu či aby se dílo stalo součástí díla jiného.</w:t>
      </w:r>
      <w:r w:rsidRPr="005C7159">
        <w:rPr>
          <w:rStyle w:val="fontstyle01"/>
          <w:rFonts w:ascii="Times New Roman" w:hAnsi="Times New Roman"/>
        </w:rPr>
        <w:t xml:space="preserve"> Pro ten případ se autor vzdává práva na autorskou korekturu.</w:t>
      </w:r>
    </w:p>
    <w:p w:rsidR="00083D57" w:rsidRPr="005C7159" w:rsidRDefault="00083D57" w:rsidP="00A30DC3">
      <w:pPr>
        <w:pStyle w:val="Odstavecseseznamem"/>
        <w:spacing w:after="120"/>
        <w:ind w:left="360"/>
        <w:contextualSpacing w:val="0"/>
        <w:jc w:val="both"/>
        <w:rPr>
          <w:rStyle w:val="fontstyle01"/>
          <w:rFonts w:ascii="Times New Roman" w:hAnsi="Times New Roman"/>
        </w:rPr>
      </w:pPr>
      <w:r w:rsidRPr="005C7159">
        <w:rPr>
          <w:rStyle w:val="fontstyle01"/>
          <w:rFonts w:ascii="Times New Roman" w:hAnsi="Times New Roman"/>
        </w:rPr>
        <w:t>Objednatel je oprávněn dílo rozmnožit a rozšířit v publikacích nakladatelským</w:t>
      </w:r>
      <w:r w:rsidRPr="005C7159">
        <w:rPr>
          <w:rFonts w:ascii="Times New Roman" w:hAnsi="Times New Roman"/>
          <w:color w:val="000000"/>
        </w:rPr>
        <w:br/>
      </w:r>
      <w:r w:rsidRPr="005C7159">
        <w:rPr>
          <w:rStyle w:val="fontstyle01"/>
          <w:rFonts w:ascii="Times New Roman" w:hAnsi="Times New Roman"/>
        </w:rPr>
        <w:t>způsobem. Pro ten případ se autor vzdává práva na autorskou korekturu.</w:t>
      </w:r>
    </w:p>
    <w:p w:rsidR="00083D57" w:rsidRPr="005C7159" w:rsidRDefault="00083D57" w:rsidP="00A30DC3">
      <w:pPr>
        <w:pStyle w:val="Odstavecseseznamem"/>
        <w:spacing w:after="120"/>
        <w:ind w:left="360"/>
        <w:contextualSpacing w:val="0"/>
        <w:jc w:val="both"/>
        <w:rPr>
          <w:rStyle w:val="fontstyle01"/>
          <w:rFonts w:ascii="Times New Roman" w:hAnsi="Times New Roman"/>
        </w:rPr>
      </w:pPr>
      <w:r w:rsidRPr="005C7159">
        <w:rPr>
          <w:rStyle w:val="fontstyle01"/>
          <w:rFonts w:ascii="Times New Roman" w:hAnsi="Times New Roman"/>
        </w:rPr>
        <w:t>Licence není nijak omezena co do jednotlivých způsobů užití díla. Rozsah jednotlivých</w:t>
      </w:r>
      <w:r w:rsidRPr="005C7159">
        <w:rPr>
          <w:rFonts w:ascii="Times New Roman" w:hAnsi="Times New Roman"/>
          <w:color w:val="000000"/>
        </w:rPr>
        <w:br/>
      </w:r>
      <w:r w:rsidRPr="005C7159">
        <w:rPr>
          <w:rStyle w:val="fontstyle01"/>
          <w:rFonts w:ascii="Times New Roman" w:hAnsi="Times New Roman"/>
        </w:rPr>
        <w:t>způsobů užití díla není nijak omezen co do množství, místa ani času.</w:t>
      </w:r>
    </w:p>
    <w:p w:rsidR="00083D57" w:rsidRPr="005C7159" w:rsidRDefault="00083D57" w:rsidP="00083D5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  <w:color w:val="000000"/>
        </w:rPr>
      </w:pPr>
      <w:r w:rsidRPr="005C7159">
        <w:rPr>
          <w:rStyle w:val="fontstyle01"/>
          <w:rFonts w:ascii="Times New Roman" w:hAnsi="Times New Roman"/>
        </w:rPr>
        <w:t xml:space="preserve">Autor není oprávněn poskytnout licenci další, třetí osobě a sám je povinen zdržet se výkonu práva užít dílo všemi způsoby, k nimž udělil licenci </w:t>
      </w:r>
      <w:r w:rsidR="00DF4CF8">
        <w:rPr>
          <w:rStyle w:val="fontstyle01"/>
          <w:rFonts w:ascii="Times New Roman" w:hAnsi="Times New Roman"/>
        </w:rPr>
        <w:t>objednateli</w:t>
      </w:r>
      <w:r w:rsidR="005C7159">
        <w:rPr>
          <w:rStyle w:val="fontstyle01"/>
          <w:rFonts w:ascii="Times New Roman" w:hAnsi="Times New Roman"/>
        </w:rPr>
        <w:t xml:space="preserve"> s výjimkou </w:t>
      </w:r>
      <w:proofErr w:type="spellStart"/>
      <w:r w:rsidR="005C7159">
        <w:rPr>
          <w:rStyle w:val="fontstyle01"/>
          <w:rFonts w:ascii="Times New Roman" w:hAnsi="Times New Roman"/>
        </w:rPr>
        <w:t>sebeprezentace</w:t>
      </w:r>
      <w:proofErr w:type="spellEnd"/>
      <w:r w:rsidR="005C7159">
        <w:rPr>
          <w:rStyle w:val="fontstyle01"/>
          <w:rFonts w:ascii="Times New Roman" w:hAnsi="Times New Roman"/>
        </w:rPr>
        <w:t xml:space="preserve"> autora díla (odst. 7).</w:t>
      </w:r>
    </w:p>
    <w:p w:rsidR="00083D57" w:rsidRPr="005C7159" w:rsidRDefault="005C7159" w:rsidP="005C7159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 w:rsidRPr="005C7159">
        <w:rPr>
          <w:rFonts w:ascii="Times New Roman" w:hAnsi="Times New Roman"/>
        </w:rPr>
        <w:lastRenderedPageBreak/>
        <w:t>Autor</w:t>
      </w:r>
      <w:r w:rsidR="002E3630" w:rsidRPr="005C7159">
        <w:rPr>
          <w:rFonts w:ascii="Times New Roman" w:hAnsi="Times New Roman"/>
        </w:rPr>
        <w:t xml:space="preserve"> v souladu s ustanovením § 2363 a </w:t>
      </w:r>
      <w:proofErr w:type="spellStart"/>
      <w:r w:rsidR="002E3630" w:rsidRPr="005C7159">
        <w:rPr>
          <w:rFonts w:ascii="Times New Roman" w:hAnsi="Times New Roman"/>
        </w:rPr>
        <w:t>násl</w:t>
      </w:r>
      <w:proofErr w:type="spellEnd"/>
      <w:r w:rsidR="002E3630" w:rsidRPr="005C7159">
        <w:rPr>
          <w:rFonts w:ascii="Times New Roman" w:hAnsi="Times New Roman"/>
        </w:rPr>
        <w:t>. občanského zákoníku</w:t>
      </w:r>
      <w:r w:rsidR="00957E9F" w:rsidRPr="005C7159">
        <w:rPr>
          <w:rFonts w:ascii="Times New Roman" w:hAnsi="Times New Roman"/>
        </w:rPr>
        <w:t>,</w:t>
      </w:r>
      <w:r w:rsidR="002E3630" w:rsidRPr="005C7159">
        <w:rPr>
          <w:rFonts w:ascii="Times New Roman" w:hAnsi="Times New Roman"/>
        </w:rPr>
        <w:t xml:space="preserve"> </w:t>
      </w:r>
      <w:r w:rsidR="00DF4CF8" w:rsidRPr="00DF4CF8">
        <w:rPr>
          <w:rFonts w:ascii="Times New Roman" w:hAnsi="Times New Roman"/>
          <w:b/>
        </w:rPr>
        <w:t xml:space="preserve">uděluje </w:t>
      </w:r>
      <w:r w:rsidR="002E3630" w:rsidRPr="00DF4CF8">
        <w:rPr>
          <w:rFonts w:ascii="Times New Roman" w:hAnsi="Times New Roman"/>
          <w:b/>
        </w:rPr>
        <w:t xml:space="preserve">objednateli </w:t>
      </w:r>
      <w:r w:rsidR="00957E9F" w:rsidRPr="00DF4CF8">
        <w:rPr>
          <w:rFonts w:ascii="Times New Roman" w:hAnsi="Times New Roman"/>
          <w:b/>
        </w:rPr>
        <w:t xml:space="preserve">souhlas, </w:t>
      </w:r>
      <w:r w:rsidR="002E3630" w:rsidRPr="00DF4CF8">
        <w:rPr>
          <w:rFonts w:ascii="Times New Roman" w:hAnsi="Times New Roman"/>
          <w:b/>
        </w:rPr>
        <w:t>po</w:t>
      </w:r>
      <w:r w:rsidRPr="00DF4CF8">
        <w:rPr>
          <w:rFonts w:ascii="Times New Roman" w:hAnsi="Times New Roman"/>
          <w:b/>
        </w:rPr>
        <w:t xml:space="preserve">skytnout podlicenci třetí osobě </w:t>
      </w:r>
      <w:r w:rsidRPr="00DF4CF8">
        <w:rPr>
          <w:rStyle w:val="fontstyle01"/>
          <w:rFonts w:ascii="Times New Roman" w:hAnsi="Times New Roman"/>
          <w:b/>
        </w:rPr>
        <w:t xml:space="preserve">všemi způsoby, k nimž je oprávněn </w:t>
      </w:r>
      <w:r w:rsidR="00DF4CF8" w:rsidRPr="00DF4CF8">
        <w:rPr>
          <w:rStyle w:val="fontstyle01"/>
          <w:rFonts w:ascii="Times New Roman" w:hAnsi="Times New Roman"/>
          <w:b/>
        </w:rPr>
        <w:t>objednatel</w:t>
      </w:r>
      <w:r w:rsidRPr="00DF4CF8">
        <w:rPr>
          <w:rStyle w:val="fontstyle01"/>
          <w:rFonts w:ascii="Times New Roman" w:hAnsi="Times New Roman"/>
          <w:b/>
        </w:rPr>
        <w:t xml:space="preserve"> sám</w:t>
      </w:r>
      <w:r w:rsidRPr="005C7159">
        <w:rPr>
          <w:rStyle w:val="fontstyle01"/>
          <w:rFonts w:ascii="Times New Roman" w:hAnsi="Times New Roman"/>
        </w:rPr>
        <w:t xml:space="preserve">. Autorovi tím nevzniká vůči </w:t>
      </w:r>
      <w:r w:rsidR="00DF4CF8">
        <w:rPr>
          <w:rStyle w:val="fontstyle01"/>
          <w:rFonts w:ascii="Times New Roman" w:hAnsi="Times New Roman"/>
        </w:rPr>
        <w:t>objednateli</w:t>
      </w:r>
      <w:r w:rsidRPr="005C7159">
        <w:rPr>
          <w:rStyle w:val="fontstyle01"/>
          <w:rFonts w:ascii="Times New Roman" w:hAnsi="Times New Roman"/>
        </w:rPr>
        <w:t xml:space="preserve"> ani vůči držiteli podlicence právo na žádnou odměnu. Držitel podlicence není povinen poskytnutou podlicenci využít a autor pro takový případ prohlašuje, že tím nebudou nepříznivě dotčeny jeho oprávněné zájmy.</w:t>
      </w:r>
    </w:p>
    <w:p w:rsidR="00083D57" w:rsidRPr="005C7159" w:rsidRDefault="005C7159" w:rsidP="00083D5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  <w:r w:rsidRPr="005C7159">
        <w:rPr>
          <w:rStyle w:val="fontstyle01"/>
          <w:rFonts w:ascii="Times New Roman" w:hAnsi="Times New Roman"/>
        </w:rPr>
        <w:t>Objednatel</w:t>
      </w:r>
      <w:r w:rsidR="00083D57" w:rsidRPr="005C7159">
        <w:rPr>
          <w:rStyle w:val="fontstyle01"/>
          <w:rFonts w:ascii="Times New Roman" w:hAnsi="Times New Roman"/>
        </w:rPr>
        <w:t xml:space="preserve"> je oprávněn poskytnou třetí osobě podlicenci k výkonu práv užít dílo všemi</w:t>
      </w:r>
      <w:r w:rsidR="00083D57" w:rsidRPr="005C7159">
        <w:rPr>
          <w:rFonts w:ascii="Times New Roman" w:hAnsi="Times New Roman"/>
          <w:color w:val="000000"/>
        </w:rPr>
        <w:br/>
      </w:r>
      <w:r w:rsidR="00083D57" w:rsidRPr="005C7159">
        <w:rPr>
          <w:rStyle w:val="fontstyle01"/>
          <w:rFonts w:ascii="Times New Roman" w:hAnsi="Times New Roman"/>
        </w:rPr>
        <w:t>způsoby, k nimž je oprávněn</w:t>
      </w:r>
      <w:r w:rsidRPr="005C7159">
        <w:rPr>
          <w:rStyle w:val="fontstyle01"/>
          <w:rFonts w:ascii="Times New Roman" w:hAnsi="Times New Roman"/>
        </w:rPr>
        <w:t xml:space="preserve"> objednatel</w:t>
      </w:r>
      <w:r w:rsidR="00083D57" w:rsidRPr="005C7159">
        <w:rPr>
          <w:rStyle w:val="fontstyle01"/>
          <w:rFonts w:ascii="Times New Roman" w:hAnsi="Times New Roman"/>
        </w:rPr>
        <w:t xml:space="preserve"> sám. Autorovi tím nevzniká vůči </w:t>
      </w:r>
      <w:r w:rsidRPr="005C7159">
        <w:rPr>
          <w:rStyle w:val="fontstyle01"/>
          <w:rFonts w:ascii="Times New Roman" w:hAnsi="Times New Roman"/>
        </w:rPr>
        <w:t>objednateli</w:t>
      </w:r>
      <w:r w:rsidR="00083D57" w:rsidRPr="005C7159">
        <w:rPr>
          <w:rStyle w:val="fontstyle01"/>
          <w:rFonts w:ascii="Times New Roman" w:hAnsi="Times New Roman"/>
        </w:rPr>
        <w:t xml:space="preserve"> ani</w:t>
      </w:r>
      <w:r w:rsidR="00083D57" w:rsidRPr="005C7159">
        <w:rPr>
          <w:rFonts w:ascii="Times New Roman" w:hAnsi="Times New Roman"/>
          <w:color w:val="000000"/>
        </w:rPr>
        <w:br/>
      </w:r>
      <w:r w:rsidR="00083D57" w:rsidRPr="005C7159">
        <w:rPr>
          <w:rStyle w:val="fontstyle01"/>
          <w:rFonts w:ascii="Times New Roman" w:hAnsi="Times New Roman"/>
        </w:rPr>
        <w:t xml:space="preserve">vůči držiteli podlicence právo na žádnou </w:t>
      </w:r>
      <w:r w:rsidR="00DF4CF8">
        <w:rPr>
          <w:rStyle w:val="fontstyle01"/>
          <w:rFonts w:ascii="Times New Roman" w:hAnsi="Times New Roman"/>
        </w:rPr>
        <w:t xml:space="preserve">další </w:t>
      </w:r>
      <w:r w:rsidR="00083D57" w:rsidRPr="005C7159">
        <w:rPr>
          <w:rStyle w:val="fontstyle01"/>
          <w:rFonts w:ascii="Times New Roman" w:hAnsi="Times New Roman"/>
        </w:rPr>
        <w:t>odměnu. Držitel podlicence není povinen</w:t>
      </w:r>
      <w:r w:rsidR="00083D57" w:rsidRPr="005C7159">
        <w:rPr>
          <w:rFonts w:ascii="Times New Roman" w:hAnsi="Times New Roman"/>
          <w:color w:val="000000"/>
        </w:rPr>
        <w:br/>
      </w:r>
      <w:r w:rsidR="00083D57" w:rsidRPr="005C7159">
        <w:rPr>
          <w:rStyle w:val="fontstyle01"/>
          <w:rFonts w:ascii="Times New Roman" w:hAnsi="Times New Roman"/>
        </w:rPr>
        <w:t>poskytnutou podlicenci využít a autor pro takový případ prohlašuje, že tím nebudou</w:t>
      </w:r>
      <w:r w:rsidR="00083D57" w:rsidRPr="005C7159">
        <w:rPr>
          <w:rFonts w:ascii="Times New Roman" w:hAnsi="Times New Roman"/>
          <w:color w:val="000000"/>
        </w:rPr>
        <w:br/>
      </w:r>
      <w:r w:rsidR="00083D57" w:rsidRPr="005C7159">
        <w:rPr>
          <w:rStyle w:val="fontstyle01"/>
          <w:rFonts w:ascii="Times New Roman" w:hAnsi="Times New Roman"/>
        </w:rPr>
        <w:t>nepříznivě dotčeny jeho oprávněné zájmy.</w:t>
      </w:r>
    </w:p>
    <w:p w:rsidR="002E3630" w:rsidRPr="005C7159" w:rsidRDefault="005C7159" w:rsidP="00083D5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  <w:r w:rsidR="002E3630" w:rsidRPr="005C7159">
        <w:rPr>
          <w:rFonts w:ascii="Times New Roman" w:hAnsi="Times New Roman"/>
        </w:rPr>
        <w:t xml:space="preserve"> uděluje v souladu s ustanovením § 2364 občanského zákoníku objednateli tímto souhlas s postoupením podlicence pro případ, že objednatel tuto podlicenci bude chtít postoupit třetí osobě.</w:t>
      </w:r>
    </w:p>
    <w:p w:rsidR="00D56C97" w:rsidRPr="00657682" w:rsidRDefault="005E5108" w:rsidP="00D56C9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 sjednávají, že o</w:t>
      </w:r>
      <w:r w:rsidR="00D56C97" w:rsidRPr="00657682">
        <w:rPr>
          <w:rFonts w:ascii="Times New Roman" w:hAnsi="Times New Roman"/>
        </w:rPr>
        <w:t xml:space="preserve">dměna za licenci </w:t>
      </w:r>
      <w:r w:rsidR="005C7159">
        <w:rPr>
          <w:rFonts w:ascii="Times New Roman" w:hAnsi="Times New Roman"/>
        </w:rPr>
        <w:t xml:space="preserve">a případné podlicence jsou </w:t>
      </w:r>
      <w:r w:rsidR="00D56C97" w:rsidRPr="00657682">
        <w:rPr>
          <w:rFonts w:ascii="Times New Roman" w:hAnsi="Times New Roman"/>
        </w:rPr>
        <w:t xml:space="preserve">součástí odměny za dílo (honoráře) </w:t>
      </w:r>
      <w:r>
        <w:rPr>
          <w:rFonts w:ascii="Times New Roman" w:hAnsi="Times New Roman"/>
        </w:rPr>
        <w:t>které byly vyplaceny</w:t>
      </w:r>
      <w:r w:rsidR="00D56C97" w:rsidRPr="00657682">
        <w:rPr>
          <w:rFonts w:ascii="Times New Roman" w:hAnsi="Times New Roman"/>
        </w:rPr>
        <w:t>. Licence přechází na objednatele okamžikem úplného zaplacení celkové ceny.</w:t>
      </w:r>
    </w:p>
    <w:p w:rsidR="00F3703C" w:rsidRPr="00F3703C" w:rsidRDefault="00D56C97" w:rsidP="00D56C9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 w:rsidRPr="00F3703C">
        <w:rPr>
          <w:rFonts w:ascii="Times New Roman" w:hAnsi="Times New Roman"/>
        </w:rPr>
        <w:t>Originály plánů, náčrtů, výkresů, grafických zobrazení a textových určení (specifikací) zůstáv</w:t>
      </w:r>
      <w:r w:rsidR="005C7159">
        <w:rPr>
          <w:rFonts w:ascii="Times New Roman" w:hAnsi="Times New Roman"/>
        </w:rPr>
        <w:t xml:space="preserve">ají ve vlastnictví autora. </w:t>
      </w:r>
      <w:r w:rsidRPr="00F3703C">
        <w:rPr>
          <w:rFonts w:ascii="Times New Roman" w:hAnsi="Times New Roman"/>
        </w:rPr>
        <w:t xml:space="preserve">Objednateli náleží řádně autorizované stejnopisy (kopie) dokumentace </w:t>
      </w:r>
      <w:r w:rsidR="005C7159">
        <w:rPr>
          <w:rFonts w:ascii="Times New Roman" w:hAnsi="Times New Roman"/>
        </w:rPr>
        <w:t xml:space="preserve">díla </w:t>
      </w:r>
      <w:r w:rsidRPr="00F3703C">
        <w:rPr>
          <w:rFonts w:ascii="Times New Roman" w:hAnsi="Times New Roman"/>
        </w:rPr>
        <w:t>včetně reprodukovatelných kopií plánů, náčrtů, výkresů, grafických zobrazení a textových určení (specifikací) pro informaci</w:t>
      </w:r>
      <w:r w:rsidR="0000496E">
        <w:rPr>
          <w:rFonts w:ascii="Times New Roman" w:hAnsi="Times New Roman"/>
        </w:rPr>
        <w:t xml:space="preserve">, </w:t>
      </w:r>
      <w:r w:rsidR="005C7159">
        <w:rPr>
          <w:rFonts w:ascii="Times New Roman" w:hAnsi="Times New Roman"/>
        </w:rPr>
        <w:t xml:space="preserve">příp. </w:t>
      </w:r>
      <w:r w:rsidR="0000496E">
        <w:rPr>
          <w:rFonts w:ascii="Times New Roman" w:hAnsi="Times New Roman"/>
        </w:rPr>
        <w:t>elektronických kopií díla,</w:t>
      </w:r>
      <w:r w:rsidRPr="00F3703C">
        <w:rPr>
          <w:rFonts w:ascii="Times New Roman" w:hAnsi="Times New Roman"/>
        </w:rPr>
        <w:t xml:space="preserve"> jako </w:t>
      </w:r>
      <w:r w:rsidR="00957E9F">
        <w:rPr>
          <w:rFonts w:ascii="Times New Roman" w:hAnsi="Times New Roman"/>
        </w:rPr>
        <w:t>návod k vlastnímu užívání díla.</w:t>
      </w:r>
    </w:p>
    <w:p w:rsidR="00D56C97" w:rsidRPr="005C7159" w:rsidRDefault="005C7159" w:rsidP="00D56C97">
      <w:pPr>
        <w:pStyle w:val="Odstavecseseznamem"/>
        <w:numPr>
          <w:ilvl w:val="0"/>
          <w:numId w:val="17"/>
        </w:numPr>
        <w:spacing w:after="120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</w:rPr>
        <w:t>Autor</w:t>
      </w:r>
      <w:r w:rsidR="00D56C97" w:rsidRPr="00F3703C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 oprávněn</w:t>
      </w:r>
      <w:r w:rsidR="00D56C97" w:rsidRPr="00F3703C">
        <w:rPr>
          <w:rFonts w:ascii="Times New Roman" w:eastAsia="Calibri" w:hAnsi="Times New Roman"/>
        </w:rPr>
        <w:t xml:space="preserve"> užít </w:t>
      </w:r>
      <w:r>
        <w:rPr>
          <w:rFonts w:ascii="Times New Roman" w:eastAsia="Calibri" w:hAnsi="Times New Roman"/>
        </w:rPr>
        <w:t xml:space="preserve">dílo </w:t>
      </w:r>
      <w:r w:rsidR="00D56C97" w:rsidRPr="00F3703C">
        <w:rPr>
          <w:rFonts w:ascii="Times New Roman" w:eastAsia="Calibri" w:hAnsi="Times New Roman"/>
        </w:rPr>
        <w:t xml:space="preserve">pro potřeby </w:t>
      </w:r>
      <w:r>
        <w:rPr>
          <w:rFonts w:ascii="Times New Roman" w:eastAsia="Calibri" w:hAnsi="Times New Roman"/>
        </w:rPr>
        <w:t>vlastní propagace autora díla.</w:t>
      </w:r>
    </w:p>
    <w:p w:rsidR="005C7159" w:rsidRPr="00F3703C" w:rsidRDefault="005C7159" w:rsidP="005C7159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/>
        </w:rPr>
      </w:pPr>
    </w:p>
    <w:p w:rsidR="0000496E" w:rsidRDefault="0000496E" w:rsidP="0000496E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</w:rPr>
      </w:pPr>
      <w:r>
        <w:rPr>
          <w:b/>
          <w:bCs/>
        </w:rPr>
        <w:t xml:space="preserve">III. </w:t>
      </w:r>
      <w:r w:rsidRPr="0000496E">
        <w:rPr>
          <w:b/>
          <w:bCs/>
          <w:caps/>
        </w:rPr>
        <w:t>Další ujednání</w:t>
      </w:r>
    </w:p>
    <w:p w:rsidR="0000496E" w:rsidRPr="0061255F" w:rsidRDefault="0000496E" w:rsidP="0061255F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00496E" w:rsidRPr="005C7159" w:rsidRDefault="005C7159" w:rsidP="0061255F">
      <w:pPr>
        <w:pStyle w:val="Odstavecseseznamem"/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/>
          <w:bCs/>
        </w:rPr>
      </w:pPr>
      <w:r w:rsidRPr="005C7159">
        <w:rPr>
          <w:rFonts w:ascii="Times New Roman" w:hAnsi="Times New Roman"/>
        </w:rPr>
        <w:t>Autor</w:t>
      </w:r>
      <w:r w:rsidR="0000496E" w:rsidRPr="005C7159">
        <w:rPr>
          <w:rFonts w:ascii="Times New Roman" w:hAnsi="Times New Roman"/>
        </w:rPr>
        <w:t xml:space="preserve"> odpovídá objednateli za právní bezvadnost práv nabytých touto licenční smlouvou, tj. za to, že užitím díla podle této licenční smlouvy nemůže dojít k neoprávněnému zásahu do práv třetích osob ani k jinému porušení právních předpisů, že případné majetkové nároky třetích osob byly vypořádány a objednateli v souvislosti s užitím díla nemohou vzniknout peněžité ani jiné povinnosti vůči třetím osobám.</w:t>
      </w:r>
    </w:p>
    <w:p w:rsidR="0000496E" w:rsidRPr="005C7159" w:rsidRDefault="005C7159" w:rsidP="0061255F">
      <w:pPr>
        <w:pStyle w:val="Normlnweb"/>
        <w:numPr>
          <w:ilvl w:val="0"/>
          <w:numId w:val="34"/>
        </w:numPr>
        <w:spacing w:before="0" w:beforeAutospacing="0" w:after="120" w:afterAutospacing="0"/>
        <w:jc w:val="both"/>
      </w:pPr>
      <w:r w:rsidRPr="005C7159">
        <w:t>Autor</w:t>
      </w:r>
      <w:r w:rsidR="0000496E" w:rsidRPr="005C7159">
        <w:t xml:space="preserve"> odpovídá </w:t>
      </w:r>
      <w:r w:rsidR="0061255F" w:rsidRPr="005C7159">
        <w:t>objednateli</w:t>
      </w:r>
      <w:r w:rsidR="0000496E" w:rsidRPr="005C7159">
        <w:t xml:space="preserve"> za škodu vzniklou v souvislosti s uplatněním práv třetích osob.</w:t>
      </w:r>
    </w:p>
    <w:p w:rsidR="0061255F" w:rsidRPr="005C7159" w:rsidRDefault="005C7159" w:rsidP="0061255F">
      <w:pPr>
        <w:pStyle w:val="Normlnweb"/>
        <w:numPr>
          <w:ilvl w:val="0"/>
          <w:numId w:val="34"/>
        </w:numPr>
        <w:spacing w:before="0" w:beforeAutospacing="0" w:after="120" w:afterAutospacing="0"/>
        <w:jc w:val="both"/>
      </w:pPr>
      <w:r w:rsidRPr="005C7159">
        <w:t>Autor</w:t>
      </w:r>
      <w:r w:rsidR="0061255F" w:rsidRPr="005C7159">
        <w:t xml:space="preserve"> </w:t>
      </w:r>
      <w:r w:rsidR="0000496E" w:rsidRPr="005C7159">
        <w:t xml:space="preserve">podpisem této licenční smlouvy výslovně prohlašuje, že jiná osoba než </w:t>
      </w:r>
      <w:r w:rsidR="0061255F" w:rsidRPr="005C7159">
        <w:t>objednatel není oprávněna</w:t>
      </w:r>
      <w:r w:rsidR="0000496E" w:rsidRPr="005C7159">
        <w:t xml:space="preserve"> díla užít.</w:t>
      </w:r>
    </w:p>
    <w:p w:rsidR="005C7159" w:rsidRPr="005C7159" w:rsidRDefault="005C7159" w:rsidP="00083D57">
      <w:pPr>
        <w:pStyle w:val="Normlnweb"/>
        <w:numPr>
          <w:ilvl w:val="0"/>
          <w:numId w:val="34"/>
        </w:numPr>
        <w:spacing w:before="0" w:beforeAutospacing="0" w:after="120" w:afterAutospacing="0"/>
        <w:jc w:val="both"/>
      </w:pPr>
      <w:r>
        <w:t>Případným z</w:t>
      </w:r>
      <w:r w:rsidR="0000496E" w:rsidRPr="005C7159">
        <w:t xml:space="preserve">ánikem </w:t>
      </w:r>
      <w:r w:rsidR="0061255F" w:rsidRPr="005C7159">
        <w:t>objednatele</w:t>
      </w:r>
      <w:r w:rsidR="0000496E" w:rsidRPr="005C7159">
        <w:t xml:space="preserve"> přechází práva a povinnost z této licenční smlouvy na jeho právního nástupce.</w:t>
      </w:r>
    </w:p>
    <w:p w:rsidR="00083D57" w:rsidRPr="005C7159" w:rsidRDefault="00083D57" w:rsidP="005C7159">
      <w:pPr>
        <w:pStyle w:val="Normlnweb"/>
        <w:numPr>
          <w:ilvl w:val="0"/>
          <w:numId w:val="34"/>
        </w:numPr>
        <w:spacing w:before="0" w:beforeAutospacing="0" w:after="120" w:afterAutospacing="0"/>
        <w:jc w:val="both"/>
      </w:pPr>
      <w:r w:rsidRPr="005C7159">
        <w:rPr>
          <w:rStyle w:val="fontstyle01"/>
          <w:rFonts w:ascii="Times New Roman" w:hAnsi="Times New Roman"/>
        </w:rPr>
        <w:t>Autor není oprávněn poskytnout licenci další,</w:t>
      </w:r>
      <w:r w:rsidR="005C7159" w:rsidRPr="005C7159">
        <w:rPr>
          <w:rStyle w:val="fontstyle01"/>
          <w:rFonts w:ascii="Times New Roman" w:hAnsi="Times New Roman"/>
          <w:color w:val="auto"/>
        </w:rPr>
        <w:t xml:space="preserve"> </w:t>
      </w:r>
      <w:r w:rsidRPr="005C7159">
        <w:rPr>
          <w:rStyle w:val="fontstyle01"/>
          <w:rFonts w:ascii="Times New Roman" w:hAnsi="Times New Roman"/>
        </w:rPr>
        <w:t>třetí osobě a sám je povinen zdržet se výkonu</w:t>
      </w:r>
      <w:r w:rsidR="005C7159" w:rsidRPr="005C7159">
        <w:rPr>
          <w:rStyle w:val="fontstyle01"/>
          <w:rFonts w:ascii="Times New Roman" w:hAnsi="Times New Roman"/>
          <w:color w:val="auto"/>
        </w:rPr>
        <w:t xml:space="preserve"> </w:t>
      </w:r>
      <w:r w:rsidRPr="005C7159">
        <w:rPr>
          <w:rStyle w:val="fontstyle01"/>
          <w:rFonts w:ascii="Times New Roman" w:hAnsi="Times New Roman"/>
        </w:rPr>
        <w:t>práva užít dílo všemi způsoby, k</w:t>
      </w:r>
      <w:r w:rsidR="005C7159" w:rsidRPr="005C7159">
        <w:rPr>
          <w:rStyle w:val="fontstyle01"/>
          <w:rFonts w:ascii="Times New Roman" w:hAnsi="Times New Roman"/>
        </w:rPr>
        <w:t> </w:t>
      </w:r>
      <w:r w:rsidRPr="005C7159">
        <w:rPr>
          <w:rStyle w:val="fontstyle01"/>
          <w:rFonts w:ascii="Times New Roman" w:hAnsi="Times New Roman"/>
        </w:rPr>
        <w:t>nimž</w:t>
      </w:r>
      <w:r w:rsidR="005C7159" w:rsidRPr="005C7159">
        <w:rPr>
          <w:rStyle w:val="fontstyle01"/>
          <w:rFonts w:ascii="Times New Roman" w:hAnsi="Times New Roman"/>
          <w:color w:val="auto"/>
        </w:rPr>
        <w:t xml:space="preserve"> </w:t>
      </w:r>
      <w:r w:rsidRPr="005C7159">
        <w:rPr>
          <w:rStyle w:val="fontstyle01"/>
          <w:rFonts w:ascii="Times New Roman" w:hAnsi="Times New Roman"/>
        </w:rPr>
        <w:t xml:space="preserve">udělil licenci </w:t>
      </w:r>
      <w:r w:rsidR="00DF4CF8">
        <w:rPr>
          <w:rStyle w:val="fontstyle01"/>
          <w:rFonts w:ascii="Times New Roman" w:hAnsi="Times New Roman"/>
        </w:rPr>
        <w:t>obj</w:t>
      </w:r>
      <w:r w:rsidR="00CD3AC1">
        <w:rPr>
          <w:rStyle w:val="fontstyle01"/>
          <w:rFonts w:ascii="Times New Roman" w:hAnsi="Times New Roman"/>
        </w:rPr>
        <w:t>e</w:t>
      </w:r>
      <w:r w:rsidR="00DF4CF8">
        <w:rPr>
          <w:rStyle w:val="fontstyle01"/>
          <w:rFonts w:ascii="Times New Roman" w:hAnsi="Times New Roman"/>
        </w:rPr>
        <w:t>dnateli</w:t>
      </w:r>
      <w:r w:rsidRPr="005C7159">
        <w:rPr>
          <w:rStyle w:val="fontstyle01"/>
          <w:rFonts w:ascii="Times New Roman" w:hAnsi="Times New Roman"/>
        </w:rPr>
        <w:t>.</w:t>
      </w:r>
    </w:p>
    <w:p w:rsidR="0000496E" w:rsidRDefault="0000496E" w:rsidP="00F770FC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Cs/>
        </w:rPr>
      </w:pPr>
    </w:p>
    <w:p w:rsidR="00950EB8" w:rsidRPr="00950EB8" w:rsidRDefault="00950EB8" w:rsidP="00950EB8">
      <w:pPr>
        <w:pStyle w:val="Normln11b"/>
        <w:spacing w:after="120"/>
        <w:jc w:val="center"/>
        <w:rPr>
          <w:b/>
          <w:caps/>
          <w:sz w:val="24"/>
          <w:szCs w:val="24"/>
        </w:rPr>
      </w:pPr>
      <w:r w:rsidRPr="00950EB8">
        <w:rPr>
          <w:b/>
          <w:caps/>
          <w:sz w:val="24"/>
          <w:szCs w:val="24"/>
        </w:rPr>
        <w:t>IV. Odměna a platební podmínky</w:t>
      </w:r>
    </w:p>
    <w:p w:rsidR="00950EB8" w:rsidRDefault="00950EB8" w:rsidP="00950EB8">
      <w:pPr>
        <w:pStyle w:val="Zkladntextodsazen211b"/>
        <w:numPr>
          <w:ilvl w:val="0"/>
          <w:numId w:val="37"/>
        </w:numPr>
        <w:spacing w:before="0" w:after="120"/>
      </w:pPr>
      <w:r>
        <w:t xml:space="preserve">Objednatel </w:t>
      </w:r>
      <w:r w:rsidRPr="00C246F9">
        <w:t xml:space="preserve">autorovi zaplatí jednorázovou paušální odměnu ve </w:t>
      </w:r>
      <w:r w:rsidRPr="00123C98">
        <w:rPr>
          <w:b/>
          <w:highlight w:val="yellow"/>
        </w:rPr>
        <w:t>výši …….. ,- Kč</w:t>
      </w:r>
      <w:r w:rsidRPr="00C246F9">
        <w:rPr>
          <w:i/>
        </w:rPr>
        <w:t xml:space="preserve"> </w:t>
      </w:r>
      <w:r w:rsidRPr="00C246F9">
        <w:t>ve</w:t>
      </w:r>
      <w:r>
        <w:t xml:space="preserve"> prospěch jeho </w:t>
      </w:r>
      <w:r w:rsidRPr="00123C98">
        <w:rPr>
          <w:highlight w:val="yellow"/>
        </w:rPr>
        <w:t xml:space="preserve">bankovního účtu číslo: ……………………. </w:t>
      </w:r>
      <w:proofErr w:type="gramStart"/>
      <w:r w:rsidRPr="00123C98">
        <w:rPr>
          <w:highlight w:val="yellow"/>
        </w:rPr>
        <w:t>pod</w:t>
      </w:r>
      <w:proofErr w:type="gramEnd"/>
      <w:r w:rsidRPr="00123C98">
        <w:rPr>
          <w:highlight w:val="yellow"/>
        </w:rPr>
        <w:t xml:space="preserve"> variabilním symbolem …………….</w:t>
      </w:r>
    </w:p>
    <w:p w:rsidR="00950EB8" w:rsidRDefault="00950EB8" w:rsidP="00950EB8">
      <w:pPr>
        <w:pStyle w:val="Zkladntextodsazen211b"/>
        <w:numPr>
          <w:ilvl w:val="0"/>
          <w:numId w:val="37"/>
        </w:numPr>
        <w:spacing w:before="0" w:after="120"/>
      </w:pPr>
      <w:r>
        <w:lastRenderedPageBreak/>
        <w:t>Paušální odměna za licenci je včetně DPH v případě, že je autor plátcem DPH.</w:t>
      </w:r>
    </w:p>
    <w:p w:rsidR="00F770FC" w:rsidRPr="009029C6" w:rsidRDefault="0000496E" w:rsidP="009029C6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V</w:t>
      </w:r>
      <w:r w:rsidRPr="0000496E">
        <w:rPr>
          <w:b/>
          <w:bCs/>
          <w:caps/>
        </w:rPr>
        <w:t xml:space="preserve">. </w:t>
      </w:r>
      <w:r w:rsidR="00F770FC" w:rsidRPr="0000496E">
        <w:rPr>
          <w:b/>
          <w:bCs/>
          <w:caps/>
        </w:rPr>
        <w:t>Závěrečná ustanovení</w:t>
      </w:r>
    </w:p>
    <w:p w:rsidR="00950EB8" w:rsidRDefault="00950EB8" w:rsidP="00950EB8">
      <w:pPr>
        <w:pStyle w:val="Zkladntextodsazen211b"/>
        <w:numPr>
          <w:ilvl w:val="0"/>
          <w:numId w:val="11"/>
        </w:numPr>
        <w:spacing w:before="0" w:after="120"/>
      </w:pPr>
      <w:r w:rsidRPr="00CB194E">
        <w:t>Veškerá práva a povinnosti vyplývající z této smlouvy, přecházejí, pokud to povaha těchto práv a povinností nevylučuje, na právní nástupce smluvních stran.</w:t>
      </w:r>
    </w:p>
    <w:p w:rsidR="0038054A" w:rsidRDefault="0038054A" w:rsidP="0038054A">
      <w:pPr>
        <w:numPr>
          <w:ilvl w:val="0"/>
          <w:numId w:val="11"/>
        </w:numPr>
        <w:spacing w:after="120"/>
        <w:ind w:left="357" w:hanging="357"/>
        <w:jc w:val="both"/>
      </w:pPr>
      <w:r w:rsidRPr="005669D6">
        <w:t>Práva a povinnosti z této smlouvy vyplývající a ve smlouvě neupravené se řídí příslušnými ustanoveními zákona 89/2012 Sb., občanského zákoníku, ve znění pozdějších předpisů</w:t>
      </w:r>
      <w:r w:rsidR="00F124B3">
        <w:t xml:space="preserve">, zákona 121/2000 Sb., autorský zákon, </w:t>
      </w:r>
      <w:r w:rsidRPr="005669D6">
        <w:t xml:space="preserve">a s obsahem smlouvy </w:t>
      </w:r>
      <w:r w:rsidR="00F124B3">
        <w:t xml:space="preserve">dalších </w:t>
      </w:r>
      <w:r w:rsidRPr="005669D6">
        <w:t>souvisejících předpisů. Pokud by bylo jedno z výše uvedených ustanovení zcela nebo zčásti právně neúčinné, zůstává tím nedotčena právní účinnost ostatních ustanovení. Totéž platí i pro případ smluvní mezery.</w:t>
      </w:r>
    </w:p>
    <w:p w:rsidR="0038054A" w:rsidRDefault="0038054A" w:rsidP="0038054A">
      <w:pPr>
        <w:numPr>
          <w:ilvl w:val="0"/>
          <w:numId w:val="11"/>
        </w:numPr>
        <w:spacing w:after="120"/>
        <w:ind w:left="357" w:hanging="357"/>
        <w:jc w:val="both"/>
      </w:pPr>
      <w:r w:rsidRPr="005669D6">
        <w:t>Strany prohlašují, že skutečnosti uvedené v této Smlouvě nepovažují za obchodní tajemství ve smyslu § 504 zákona 89/2012 Sb., občanského zákoníku, ve znění pozdějších předpisů tímto výslovně souhlasí se zveřejněním veškerých náležitostí a podmínek této smlouvy a/nebo souvisejících dokumentů a informací, včetně zveřejnění této smlouvy jako celku, v rámci informací zpřístupňovaných veřejnosti bez stanovení jakýchkoli dalších podmínek, a to i prostřednictvím dálkového přístupu, zejména na webových stránkách města.</w:t>
      </w:r>
    </w:p>
    <w:p w:rsidR="0038054A" w:rsidRPr="000A2EAD" w:rsidRDefault="0038054A" w:rsidP="00290171">
      <w:pPr>
        <w:numPr>
          <w:ilvl w:val="0"/>
          <w:numId w:val="11"/>
        </w:numPr>
        <w:spacing w:after="120"/>
        <w:jc w:val="both"/>
      </w:pPr>
      <w:r w:rsidRPr="000A2EAD">
        <w:t xml:space="preserve">Tuto smlouvu je možné měnit pouze písemnou dohodou smluvních stran ve formě vzestupně číslovaných dodatků této smlouvy, podepsaných oprávněnými zástupci smluvních stran. </w:t>
      </w:r>
    </w:p>
    <w:p w:rsidR="00290171" w:rsidRDefault="00290171" w:rsidP="00290171">
      <w:pPr>
        <w:numPr>
          <w:ilvl w:val="0"/>
          <w:numId w:val="11"/>
        </w:numPr>
        <w:spacing w:after="120"/>
        <w:jc w:val="both"/>
      </w:pPr>
      <w:r>
        <w:t>Smluvní strany prohlašují, že berou na vědomí, že smluvní strany shromažďují osobní údaje druhé smluvní strany a jejích zaměstnanců a členů v rozsahu uvedeném touto smlouvou včetně všech případných dodatků smlouvy, zejména jména a příjmení osob, které smlouvu podepisují za smluvní strany, jména a příjmení osob uvedených jako kontakty, včetně případných poskytnutých či uvedených e-mailů a telefonních čísel, v souladu s Nařízením Evropského parlamentu a Rady č. 2016/679, obecné nařízení o ochraně osobních údajů (GDPR), a to za účelem realizace této smlouvy. Osobní údaje shromážděné v souvislosti s touto smlouvou nebudou jiným způsobem smluvními stranami využívány, ledaže tak výslovně vyplývá z právních předpisů platných v České republice nebo byl výslovně poskytnut souhlas subjektem osobních údajů.</w:t>
      </w:r>
    </w:p>
    <w:p w:rsidR="00290171" w:rsidRDefault="00290171" w:rsidP="00290171">
      <w:pPr>
        <w:numPr>
          <w:ilvl w:val="0"/>
          <w:numId w:val="11"/>
        </w:numPr>
        <w:spacing w:after="120"/>
        <w:jc w:val="both"/>
      </w:pPr>
      <w:r>
        <w:t>Smluvní strany souhlasí s tím, že text smlouvy je veřejně přístupnou listinou ve smyslu zákona č. 106/1999 Sb. o svobodném přístupu k informacím, ve znění pozdějších předpisů, a že město jako povinný subjekt má povinnost na žádost poskytnout informace o tomto smluvním vztahu včetně poskytnutí kopie smlouvy.</w:t>
      </w:r>
    </w:p>
    <w:p w:rsidR="0038054A" w:rsidRDefault="0038054A" w:rsidP="00290171">
      <w:pPr>
        <w:numPr>
          <w:ilvl w:val="0"/>
          <w:numId w:val="11"/>
        </w:numPr>
        <w:spacing w:after="120"/>
        <w:jc w:val="both"/>
      </w:pPr>
      <w:r>
        <w:t>Zhotovitel výslovně prohlašuje</w:t>
      </w:r>
      <w:r w:rsidRPr="0014110D">
        <w:t>, že souhlasí s</w:t>
      </w:r>
      <w:r>
        <w:t xml:space="preserve"> odesíláním </w:t>
      </w:r>
      <w:r w:rsidRPr="0014110D">
        <w:t xml:space="preserve">finančních transakcí vyplývajících z této smlouvy </w:t>
      </w:r>
      <w:r>
        <w:t xml:space="preserve">na transparentní účet města a je </w:t>
      </w:r>
      <w:r w:rsidRPr="0014110D">
        <w:t xml:space="preserve">seznámen, že bankovní ústav může na takovém účtu zveřejnit. Na transparentních účtech jsou zveřejněny nejméně tyto informace: - zaúčtovaná částka a měna, datum </w:t>
      </w:r>
      <w:r>
        <w:t xml:space="preserve">připsání </w:t>
      </w:r>
      <w:r w:rsidRPr="0014110D">
        <w:t xml:space="preserve">platby na účet, - popis platby, - název a číslo účtu plátce, - zpráva pro příjemce, - variabilní, - konstantní, - specifický symbol, a i další text byl-li plátcem uveden jakož i text uvedený smluvní stranou k identifikaci platby směrem k veřejnosti. </w:t>
      </w:r>
    </w:p>
    <w:p w:rsidR="0038054A" w:rsidRPr="00E2504C" w:rsidRDefault="0038054A" w:rsidP="0038054A">
      <w:pPr>
        <w:numPr>
          <w:ilvl w:val="0"/>
          <w:numId w:val="11"/>
        </w:numPr>
        <w:spacing w:after="120"/>
        <w:ind w:left="357" w:hanging="357"/>
        <w:jc w:val="both"/>
      </w:pPr>
      <w:r w:rsidRPr="00E2504C">
        <w:t xml:space="preserve">Strany výslovně potvrzují, že nejsou slabší stranou ve smyslu § </w:t>
      </w:r>
      <w:smartTag w:uri="urn:schemas-microsoft-com:office:smarttags" w:element="metricconverter">
        <w:smartTagPr>
          <w:attr w:name="ProductID" w:val="433 a"/>
        </w:smartTagPr>
        <w:r w:rsidRPr="00E2504C">
          <w:t>433 a</w:t>
        </w:r>
      </w:smartTag>
      <w:r w:rsidRPr="00E2504C">
        <w:t xml:space="preserve"> § </w:t>
      </w:r>
      <w:smartTag w:uri="urn:schemas-microsoft-com:office:smarttags" w:element="metricconverter">
        <w:smartTagPr>
          <w:attr w:name="ProductID" w:val="1798 a"/>
        </w:smartTagPr>
        <w:r w:rsidRPr="00E2504C">
          <w:t xml:space="preserve">1798 </w:t>
        </w:r>
        <w:proofErr w:type="gramStart"/>
        <w:r w:rsidRPr="00E2504C">
          <w:t>a</w:t>
        </w:r>
      </w:smartTag>
      <w:r w:rsidRPr="00E2504C">
        <w:t>.n.</w:t>
      </w:r>
      <w:proofErr w:type="gramEnd"/>
      <w:r w:rsidRPr="00E2504C">
        <w:t xml:space="preserve"> občanského zákoníku, základní podmínky této smlouvy jsou výsledkem jednání stran a každá ze stran měla příležitost ovlivnit obsah této smlouvy. </w:t>
      </w:r>
    </w:p>
    <w:p w:rsidR="005C7159" w:rsidRPr="00E2504C" w:rsidRDefault="001C499D" w:rsidP="005C7159">
      <w:pPr>
        <w:numPr>
          <w:ilvl w:val="0"/>
          <w:numId w:val="11"/>
        </w:numPr>
        <w:spacing w:after="120"/>
        <w:ind w:left="357" w:hanging="357"/>
        <w:jc w:val="both"/>
      </w:pPr>
      <w:r w:rsidRPr="00E2504C">
        <w:lastRenderedPageBreak/>
        <w:t>Tato smlouva je vyhotovena v</w:t>
      </w:r>
      <w:r w:rsidR="0050309F" w:rsidRPr="00E2504C">
        <w:t>e</w:t>
      </w:r>
      <w:r w:rsidR="0050309F" w:rsidRPr="00E2504C">
        <w:rPr>
          <w:b/>
        </w:rPr>
        <w:t xml:space="preserve"> </w:t>
      </w:r>
      <w:r w:rsidR="00302EF8" w:rsidRPr="00E2504C">
        <w:rPr>
          <w:b/>
        </w:rPr>
        <w:t>4</w:t>
      </w:r>
      <w:r w:rsidRPr="00E2504C">
        <w:t xml:space="preserve"> stejnopisech s platností originálu, z nichž </w:t>
      </w:r>
      <w:r w:rsidR="00302EF8" w:rsidRPr="00E2504C">
        <w:rPr>
          <w:u w:val="single"/>
        </w:rPr>
        <w:t>jedno</w:t>
      </w:r>
      <w:r w:rsidRPr="00E2504C">
        <w:t xml:space="preserve"> vyhotovení obdrží </w:t>
      </w:r>
      <w:r w:rsidR="00290171">
        <w:t>autor</w:t>
      </w:r>
      <w:r w:rsidRPr="00E2504C">
        <w:t xml:space="preserve"> a </w:t>
      </w:r>
      <w:r w:rsidR="00302EF8" w:rsidRPr="00E2504C">
        <w:rPr>
          <w:u w:val="single"/>
        </w:rPr>
        <w:t>tři</w:t>
      </w:r>
      <w:r w:rsidRPr="00E2504C">
        <w:t xml:space="preserve"> vyhotovení obdrží objednatel po podpisu této smlouvy.</w:t>
      </w:r>
    </w:p>
    <w:p w:rsidR="00290171" w:rsidRPr="00FF1C79" w:rsidRDefault="00290171" w:rsidP="00290171">
      <w:pPr>
        <w:numPr>
          <w:ilvl w:val="0"/>
          <w:numId w:val="11"/>
        </w:numPr>
        <w:spacing w:after="120"/>
        <w:ind w:left="357" w:hanging="357"/>
        <w:jc w:val="both"/>
      </w:pPr>
      <w:r w:rsidRPr="00A722B4">
        <w:t xml:space="preserve">Uzavření této </w:t>
      </w:r>
      <w:r w:rsidRPr="00FF1C79">
        <w:t xml:space="preserve">smlouvy </w:t>
      </w:r>
      <w:r w:rsidRPr="00FF1C79">
        <w:rPr>
          <w:b/>
        </w:rPr>
        <w:t>schválil</w:t>
      </w:r>
      <w:r>
        <w:rPr>
          <w:b/>
        </w:rPr>
        <w:t>a</w:t>
      </w:r>
      <w:r w:rsidRPr="00FF1C79">
        <w:rPr>
          <w:b/>
        </w:rPr>
        <w:t xml:space="preserve"> </w:t>
      </w:r>
      <w:r>
        <w:rPr>
          <w:b/>
        </w:rPr>
        <w:t xml:space="preserve">rada </w:t>
      </w:r>
      <w:r w:rsidRPr="00FF1C79">
        <w:t xml:space="preserve">Města Úvaly č. R- </w:t>
      </w:r>
      <w:r w:rsidRPr="00FF1C79">
        <w:rPr>
          <w:b/>
        </w:rPr>
        <w:t>[</w:t>
      </w:r>
      <w:r w:rsidRPr="00FF1C79">
        <w:rPr>
          <w:b/>
          <w:shd w:val="clear" w:color="auto" w:fill="D9D9D9" w:themeFill="background1" w:themeFillShade="D9"/>
        </w:rPr>
        <w:t>doplní město Úvaly při podpisu</w:t>
      </w:r>
      <w:r w:rsidRPr="00FF1C79">
        <w:rPr>
          <w:b/>
        </w:rPr>
        <w:t>]</w:t>
      </w:r>
      <w:r w:rsidRPr="00FF1C79">
        <w:t xml:space="preserve"> dne </w:t>
      </w:r>
      <w:r w:rsidRPr="00FF1C79">
        <w:rPr>
          <w:b/>
        </w:rPr>
        <w:t>[</w:t>
      </w:r>
      <w:r w:rsidRPr="00FF1C79">
        <w:rPr>
          <w:b/>
          <w:shd w:val="clear" w:color="auto" w:fill="D9D9D9" w:themeFill="background1" w:themeFillShade="D9"/>
        </w:rPr>
        <w:t>doplní město Úvaly při podpisu</w:t>
      </w:r>
      <w:r w:rsidRPr="00FF1C79">
        <w:rPr>
          <w:b/>
        </w:rPr>
        <w:t>]</w:t>
      </w:r>
      <w:r w:rsidRPr="00FF1C79">
        <w:t xml:space="preserve"> a pověřil</w:t>
      </w:r>
      <w:r>
        <w:t>a</w:t>
      </w:r>
      <w:r w:rsidRPr="00FF1C79">
        <w:t xml:space="preserve"> starostu města k jejímu podpisu.</w:t>
      </w:r>
      <w:r>
        <w:t xml:space="preserve"> </w:t>
      </w:r>
      <w:r w:rsidRPr="00FF1C79">
        <w:t xml:space="preserve">Tato smlouva nabývá platnosti a účinnosti dnem podpisu poslední smluvní stranou za schválení </w:t>
      </w:r>
      <w:r>
        <w:t>rady</w:t>
      </w:r>
      <w:r w:rsidRPr="00FF1C79">
        <w:t xml:space="preserve"> města Úvaly.</w:t>
      </w:r>
    </w:p>
    <w:p w:rsidR="005C7159" w:rsidRPr="00E2504C" w:rsidRDefault="005C7159" w:rsidP="005C7159">
      <w:pPr>
        <w:numPr>
          <w:ilvl w:val="0"/>
          <w:numId w:val="11"/>
        </w:numPr>
        <w:spacing w:after="120"/>
        <w:jc w:val="both"/>
      </w:pPr>
      <w:r w:rsidRPr="00E2504C">
        <w:t xml:space="preserve">Podle </w:t>
      </w:r>
      <w:proofErr w:type="spellStart"/>
      <w:r w:rsidRPr="00E2504C">
        <w:t>ust</w:t>
      </w:r>
      <w:proofErr w:type="spellEnd"/>
      <w:r w:rsidRPr="00E2504C">
        <w:t>. § 3 odst. 2 písm. l) zákona 340/2015 Sb. o registru smluv, město Úvaly mají výjimku z povinnosti uveřejňování smluv v registru smluv; smluvní strany sjednaly, že pokud druhá smluvní strana spadá do výčtu orgánů a organizací, jejichž smlouvy se zveřejňují, tak má tato smluvní strana povinnost smlouvu v registru smluv zveřejnit ve lhůtách stanovených zákonem, pod sankcí všech právních důsledků plynoucí ze zákona.</w:t>
      </w:r>
    </w:p>
    <w:p w:rsidR="00917EDE" w:rsidRPr="00E2504C" w:rsidRDefault="001C499D" w:rsidP="001C499D">
      <w:pPr>
        <w:pStyle w:val="Bezmezer"/>
        <w:numPr>
          <w:ilvl w:val="0"/>
          <w:numId w:val="11"/>
        </w:numPr>
        <w:spacing w:after="120"/>
        <w:ind w:left="357" w:hanging="357"/>
        <w:jc w:val="both"/>
      </w:pPr>
      <w:r w:rsidRPr="00E2504C">
        <w:t>Strany po přečtení této smlouvy prohlašují, že souhlasí s jejím obsahem, což potvrzují svými podpisy</w:t>
      </w:r>
      <w:r w:rsidR="002B3AE2" w:rsidRPr="00E2504C">
        <w:t>.</w:t>
      </w:r>
    </w:p>
    <w:p w:rsidR="00917EDE" w:rsidRDefault="00917EDE" w:rsidP="001C499D">
      <w:pPr>
        <w:pStyle w:val="Bezmezer"/>
        <w:spacing w:after="120"/>
      </w:pPr>
    </w:p>
    <w:tbl>
      <w:tblPr>
        <w:tblStyle w:val="Mkatabulky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8"/>
        <w:gridCol w:w="1433"/>
        <w:gridCol w:w="4004"/>
      </w:tblGrid>
      <w:tr w:rsidR="001C499D" w:rsidRPr="005B37FD" w:rsidTr="00F40AC0">
        <w:trPr>
          <w:trHeight w:val="198"/>
        </w:trPr>
        <w:tc>
          <w:tcPr>
            <w:tcW w:w="3728" w:type="dxa"/>
          </w:tcPr>
          <w:p w:rsidR="001C499D" w:rsidRPr="00F124B3" w:rsidRDefault="001C499D" w:rsidP="00F40AC0">
            <w:pPr>
              <w:spacing w:after="120"/>
              <w:contextualSpacing/>
              <w:rPr>
                <w:highlight w:val="yellow"/>
              </w:rPr>
            </w:pPr>
            <w:r w:rsidRPr="00F124B3">
              <w:rPr>
                <w:highlight w:val="yellow"/>
              </w:rPr>
              <w:t>V Úvalech dne ………………</w:t>
            </w:r>
          </w:p>
        </w:tc>
        <w:tc>
          <w:tcPr>
            <w:tcW w:w="1433" w:type="dxa"/>
          </w:tcPr>
          <w:p w:rsidR="001C499D" w:rsidRPr="00F124B3" w:rsidRDefault="001C499D" w:rsidP="00F40AC0">
            <w:pPr>
              <w:spacing w:after="120"/>
              <w:contextualSpacing/>
              <w:rPr>
                <w:highlight w:val="yellow"/>
              </w:rPr>
            </w:pPr>
          </w:p>
        </w:tc>
        <w:tc>
          <w:tcPr>
            <w:tcW w:w="4004" w:type="dxa"/>
          </w:tcPr>
          <w:p w:rsidR="001C499D" w:rsidRPr="005B37FD" w:rsidRDefault="00905015" w:rsidP="00F40AC0">
            <w:pPr>
              <w:spacing w:after="120"/>
              <w:contextualSpacing/>
            </w:pPr>
            <w:r w:rsidRPr="00F124B3">
              <w:rPr>
                <w:highlight w:val="yellow"/>
              </w:rPr>
              <w:t>V……………</w:t>
            </w:r>
            <w:r w:rsidR="001C499D" w:rsidRPr="00F124B3">
              <w:rPr>
                <w:highlight w:val="yellow"/>
              </w:rPr>
              <w:t xml:space="preserve"> dne ………………</w:t>
            </w:r>
          </w:p>
        </w:tc>
      </w:tr>
      <w:tr w:rsidR="001C499D" w:rsidRPr="005B37FD" w:rsidTr="00F40AC0">
        <w:trPr>
          <w:trHeight w:val="209"/>
        </w:trPr>
        <w:tc>
          <w:tcPr>
            <w:tcW w:w="3728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1433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4004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</w:tr>
      <w:tr w:rsidR="001C499D" w:rsidRPr="005B37FD" w:rsidTr="00F40AC0">
        <w:trPr>
          <w:trHeight w:val="198"/>
        </w:trPr>
        <w:tc>
          <w:tcPr>
            <w:tcW w:w="3728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1433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4004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</w:tr>
      <w:tr w:rsidR="001C499D" w:rsidRPr="005B37FD" w:rsidTr="00F40AC0">
        <w:trPr>
          <w:trHeight w:val="407"/>
        </w:trPr>
        <w:tc>
          <w:tcPr>
            <w:tcW w:w="3728" w:type="dxa"/>
          </w:tcPr>
          <w:p w:rsidR="001C499D" w:rsidRPr="005B37FD" w:rsidRDefault="001C499D" w:rsidP="00F40AC0">
            <w:pPr>
              <w:spacing w:after="120"/>
              <w:contextualSpacing/>
            </w:pPr>
            <w:r w:rsidRPr="005B37FD">
              <w:t xml:space="preserve">Za </w:t>
            </w:r>
            <w:r>
              <w:t>objednatele</w:t>
            </w:r>
          </w:p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1433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4004" w:type="dxa"/>
          </w:tcPr>
          <w:p w:rsidR="001C499D" w:rsidRPr="005B37FD" w:rsidRDefault="00F124B3" w:rsidP="00F124B3">
            <w:pPr>
              <w:spacing w:after="120"/>
              <w:contextualSpacing/>
            </w:pPr>
            <w:r>
              <w:t>Za autora</w:t>
            </w:r>
          </w:p>
        </w:tc>
      </w:tr>
      <w:tr w:rsidR="001C499D" w:rsidRPr="005B37FD" w:rsidTr="00F40AC0">
        <w:trPr>
          <w:trHeight w:val="814"/>
        </w:trPr>
        <w:tc>
          <w:tcPr>
            <w:tcW w:w="3728" w:type="dxa"/>
            <w:tcBorders>
              <w:bottom w:val="single" w:sz="4" w:space="0" w:color="auto"/>
            </w:tcBorders>
          </w:tcPr>
          <w:p w:rsidR="001C499D" w:rsidRPr="005B37FD" w:rsidRDefault="001C499D" w:rsidP="00F40AC0">
            <w:pPr>
              <w:spacing w:after="120"/>
              <w:contextualSpacing/>
            </w:pPr>
          </w:p>
          <w:p w:rsidR="001C499D" w:rsidRPr="005B37FD" w:rsidRDefault="001C499D" w:rsidP="00F40AC0">
            <w:pPr>
              <w:spacing w:after="120"/>
              <w:contextualSpacing/>
            </w:pPr>
          </w:p>
          <w:p w:rsidR="001C499D" w:rsidRPr="005B37FD" w:rsidRDefault="001C499D" w:rsidP="00F40AC0">
            <w:pPr>
              <w:spacing w:after="120"/>
              <w:contextualSpacing/>
            </w:pPr>
          </w:p>
          <w:p w:rsidR="001C499D" w:rsidRPr="005B37FD" w:rsidRDefault="001C499D" w:rsidP="00F40AC0">
            <w:pPr>
              <w:spacing w:after="120"/>
              <w:contextualSpacing/>
              <w:rPr>
                <w:u w:val="single"/>
              </w:rPr>
            </w:pPr>
          </w:p>
        </w:tc>
        <w:tc>
          <w:tcPr>
            <w:tcW w:w="1433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4004" w:type="dxa"/>
            <w:tcBorders>
              <w:bottom w:val="single" w:sz="4" w:space="0" w:color="auto"/>
            </w:tcBorders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</w:tr>
      <w:tr w:rsidR="001C499D" w:rsidRPr="005B37FD" w:rsidTr="00F40AC0">
        <w:trPr>
          <w:trHeight w:val="847"/>
        </w:trPr>
        <w:tc>
          <w:tcPr>
            <w:tcW w:w="3728" w:type="dxa"/>
            <w:tcBorders>
              <w:top w:val="single" w:sz="4" w:space="0" w:color="auto"/>
            </w:tcBorders>
          </w:tcPr>
          <w:p w:rsidR="001C499D" w:rsidRPr="005B37FD" w:rsidRDefault="001C499D" w:rsidP="00F40AC0">
            <w:pPr>
              <w:ind w:left="357" w:hanging="357"/>
              <w:contextualSpacing/>
              <w:jc w:val="center"/>
              <w:rPr>
                <w:b/>
              </w:rPr>
            </w:pPr>
            <w:r w:rsidRPr="005B37FD">
              <w:rPr>
                <w:b/>
              </w:rPr>
              <w:t>Mgr. Petr Borecký</w:t>
            </w:r>
          </w:p>
          <w:p w:rsidR="001C499D" w:rsidRPr="005B37FD" w:rsidRDefault="00F124B3" w:rsidP="00F40AC0">
            <w:pPr>
              <w:spacing w:after="120"/>
              <w:contextualSpacing/>
              <w:jc w:val="center"/>
            </w:pPr>
            <w:r>
              <w:t>starosta města</w:t>
            </w:r>
          </w:p>
        </w:tc>
        <w:tc>
          <w:tcPr>
            <w:tcW w:w="1433" w:type="dxa"/>
          </w:tcPr>
          <w:p w:rsidR="001C499D" w:rsidRPr="005B37FD" w:rsidRDefault="001C499D" w:rsidP="00F40AC0">
            <w:pPr>
              <w:spacing w:after="120"/>
              <w:contextualSpacing/>
            </w:pPr>
          </w:p>
        </w:tc>
        <w:tc>
          <w:tcPr>
            <w:tcW w:w="4004" w:type="dxa"/>
            <w:tcBorders>
              <w:top w:val="single" w:sz="4" w:space="0" w:color="auto"/>
            </w:tcBorders>
          </w:tcPr>
          <w:p w:rsidR="001C499D" w:rsidRPr="005B37FD" w:rsidRDefault="00F124B3" w:rsidP="002B3AE2">
            <w:pPr>
              <w:spacing w:after="120"/>
              <w:contextualSpacing/>
            </w:pPr>
            <w:r>
              <w:rPr>
                <w:b/>
                <w:highlight w:val="yellow"/>
              </w:rPr>
              <w:t xml:space="preserve">                 </w:t>
            </w:r>
            <w:r w:rsidRPr="00E2504C">
              <w:rPr>
                <w:b/>
                <w:highlight w:val="yellow"/>
              </w:rPr>
              <w:t>[</w:t>
            </w:r>
            <w:r w:rsidRPr="00E2504C">
              <w:rPr>
                <w:b/>
                <w:highlight w:val="yellow"/>
                <w:shd w:val="clear" w:color="auto" w:fill="AEAAAA"/>
              </w:rPr>
              <w:t>doplní uchazeč</w:t>
            </w:r>
            <w:r w:rsidRPr="00E2504C">
              <w:rPr>
                <w:b/>
                <w:highlight w:val="yellow"/>
              </w:rPr>
              <w:t>]</w:t>
            </w:r>
          </w:p>
        </w:tc>
      </w:tr>
    </w:tbl>
    <w:p w:rsidR="00022065" w:rsidRPr="00436FC5" w:rsidRDefault="00022065" w:rsidP="00A344C3">
      <w:pPr>
        <w:pStyle w:val="Normlnweb"/>
        <w:spacing w:before="0" w:beforeAutospacing="0" w:after="120" w:afterAutospacing="0"/>
        <w:jc w:val="both"/>
      </w:pPr>
    </w:p>
    <w:sectPr w:rsidR="00022065" w:rsidRPr="00436FC5" w:rsidSect="00F1163A">
      <w:pgSz w:w="12240" w:h="15840"/>
      <w:pgMar w:top="1276" w:right="1417" w:bottom="1417" w:left="156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ED" w:rsidRDefault="00C044ED" w:rsidP="00BF0093">
      <w:r>
        <w:separator/>
      </w:r>
    </w:p>
  </w:endnote>
  <w:endnote w:type="continuationSeparator" w:id="0">
    <w:p w:rsidR="00C044ED" w:rsidRDefault="00C044ED" w:rsidP="00BF0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ED" w:rsidRDefault="00C044ED" w:rsidP="00BF0093">
      <w:r>
        <w:separator/>
      </w:r>
    </w:p>
  </w:footnote>
  <w:footnote w:type="continuationSeparator" w:id="0">
    <w:p w:rsidR="00C044ED" w:rsidRDefault="00C044ED" w:rsidP="00BF0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b/>
        <w:u w:val="single"/>
      </w:rPr>
    </w:lvl>
  </w:abstractNum>
  <w:abstractNum w:abstractNumId="2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>
    <w:nsid w:val="00847CC6"/>
    <w:multiLevelType w:val="hybridMultilevel"/>
    <w:tmpl w:val="B41E58EA"/>
    <w:lvl w:ilvl="0" w:tplc="625E1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19D0EAE"/>
    <w:multiLevelType w:val="hybridMultilevel"/>
    <w:tmpl w:val="0518E2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D537D3"/>
    <w:multiLevelType w:val="hybridMultilevel"/>
    <w:tmpl w:val="E996C5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>
    <w:nsid w:val="13BB1D04"/>
    <w:multiLevelType w:val="hybridMultilevel"/>
    <w:tmpl w:val="B3A06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140C6"/>
    <w:multiLevelType w:val="multilevel"/>
    <w:tmpl w:val="8FD8FDB2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Odstavecslovan1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Odstavecslovan2"/>
      <w:isLgl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Restart w:val="2"/>
      <w:pStyle w:val="Odstavecslovana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Nadpis5"/>
      <w:lvlText w:val="%2.%3.%4.%5"/>
      <w:lvlJc w:val="left"/>
      <w:pPr>
        <w:tabs>
          <w:tab w:val="num" w:pos="108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pStyle w:val="Nadpis6"/>
      <w:lvlText w:val="%2.%3.%4.%5.%6"/>
      <w:lvlJc w:val="left"/>
      <w:pPr>
        <w:tabs>
          <w:tab w:val="num" w:pos="144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pStyle w:val="Nadpis7"/>
      <w:lvlText w:val="%2.%3.%4.%5.%6.%7"/>
      <w:lvlJc w:val="left"/>
      <w:pPr>
        <w:tabs>
          <w:tab w:val="num" w:pos="180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pStyle w:val="Nadpis8"/>
      <w:suff w:val="nothing"/>
      <w:lvlText w:val="%2.%3.%4.%5.%6.%7.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A393BD9"/>
    <w:multiLevelType w:val="hybridMultilevel"/>
    <w:tmpl w:val="42F8B4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8A0133"/>
    <w:multiLevelType w:val="multilevel"/>
    <w:tmpl w:val="470C17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>
    <w:nsid w:val="2A5B1376"/>
    <w:multiLevelType w:val="hybridMultilevel"/>
    <w:tmpl w:val="FBEAD270"/>
    <w:lvl w:ilvl="0" w:tplc="272AB8FA">
      <w:start w:val="6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664AFF"/>
    <w:multiLevelType w:val="multilevel"/>
    <w:tmpl w:val="206ADD46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D9028FF"/>
    <w:multiLevelType w:val="hybridMultilevel"/>
    <w:tmpl w:val="0A606644"/>
    <w:lvl w:ilvl="0" w:tplc="DA7C50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8E44D9"/>
    <w:multiLevelType w:val="hybridMultilevel"/>
    <w:tmpl w:val="AF9C69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2E66"/>
    <w:multiLevelType w:val="hybridMultilevel"/>
    <w:tmpl w:val="89DC4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74D82"/>
    <w:multiLevelType w:val="hybridMultilevel"/>
    <w:tmpl w:val="5ED0AFD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5CC178C"/>
    <w:multiLevelType w:val="hybridMultilevel"/>
    <w:tmpl w:val="C756CD98"/>
    <w:lvl w:ilvl="0" w:tplc="D682F2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6755EB"/>
    <w:multiLevelType w:val="hybridMultilevel"/>
    <w:tmpl w:val="AC109400"/>
    <w:lvl w:ilvl="0" w:tplc="2746FC12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225EF9E6">
      <w:start w:val="1"/>
      <w:numFmt w:val="lowerLetter"/>
      <w:lvlText w:val="(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6FD2563E">
      <w:start w:val="1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83E5E2E"/>
    <w:multiLevelType w:val="hybridMultilevel"/>
    <w:tmpl w:val="3182B838"/>
    <w:lvl w:ilvl="0" w:tplc="4170D1A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050013">
      <w:start w:val="1"/>
      <w:numFmt w:val="upperRoman"/>
      <w:lvlText w:val="%2."/>
      <w:lvlJc w:val="righ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9761802"/>
    <w:multiLevelType w:val="hybridMultilevel"/>
    <w:tmpl w:val="4D1CC30C"/>
    <w:lvl w:ilvl="0" w:tplc="5CCA0A08">
      <w:start w:val="1"/>
      <w:numFmt w:val="lowerLetter"/>
      <w:lvlText w:val="(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2">
    <w:nsid w:val="3AEB0371"/>
    <w:multiLevelType w:val="hybridMultilevel"/>
    <w:tmpl w:val="7CCAF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8D0CAE"/>
    <w:multiLevelType w:val="hybridMultilevel"/>
    <w:tmpl w:val="CAFCA292"/>
    <w:lvl w:ilvl="0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3F4A2B06"/>
    <w:multiLevelType w:val="hybridMultilevel"/>
    <w:tmpl w:val="EE8CF826"/>
    <w:lvl w:ilvl="0" w:tplc="6650A8EC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6132C1"/>
    <w:multiLevelType w:val="hybridMultilevel"/>
    <w:tmpl w:val="42E6F8FC"/>
    <w:lvl w:ilvl="0" w:tplc="94C4BD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1971CA"/>
    <w:multiLevelType w:val="hybridMultilevel"/>
    <w:tmpl w:val="002CFC3C"/>
    <w:lvl w:ilvl="0" w:tplc="411E9E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6D5493"/>
    <w:multiLevelType w:val="hybridMultilevel"/>
    <w:tmpl w:val="9000D232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494B0216"/>
    <w:multiLevelType w:val="hybridMultilevel"/>
    <w:tmpl w:val="788CEEC6"/>
    <w:lvl w:ilvl="0" w:tplc="785AA9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9730D3A"/>
    <w:multiLevelType w:val="hybridMultilevel"/>
    <w:tmpl w:val="10644ED4"/>
    <w:lvl w:ilvl="0" w:tplc="7D0A53E6">
      <w:start w:val="1"/>
      <w:numFmt w:val="lowerLetter"/>
      <w:lvlText w:val="(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4A22317B"/>
    <w:multiLevelType w:val="hybridMultilevel"/>
    <w:tmpl w:val="96BE64A6"/>
    <w:lvl w:ilvl="0" w:tplc="D05A9C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7E722C"/>
    <w:multiLevelType w:val="hybridMultilevel"/>
    <w:tmpl w:val="86ECA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F6A5BF9"/>
    <w:multiLevelType w:val="multilevel"/>
    <w:tmpl w:val="731C9DB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3">
    <w:nsid w:val="50150385"/>
    <w:multiLevelType w:val="hybridMultilevel"/>
    <w:tmpl w:val="941C92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A6458B"/>
    <w:multiLevelType w:val="hybridMultilevel"/>
    <w:tmpl w:val="2662E558"/>
    <w:lvl w:ilvl="0" w:tplc="8CF62DF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740587"/>
    <w:multiLevelType w:val="hybridMultilevel"/>
    <w:tmpl w:val="B9D0D5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DEE45E6"/>
    <w:multiLevelType w:val="hybridMultilevel"/>
    <w:tmpl w:val="BCFED7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00268D"/>
    <w:multiLevelType w:val="hybridMultilevel"/>
    <w:tmpl w:val="4BE85B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EB6A44"/>
    <w:multiLevelType w:val="hybridMultilevel"/>
    <w:tmpl w:val="D03AE648"/>
    <w:lvl w:ilvl="0" w:tplc="3DC878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>
    <w:nsid w:val="6F7F38BE"/>
    <w:multiLevelType w:val="hybridMultilevel"/>
    <w:tmpl w:val="1A5EDE10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0">
    <w:nsid w:val="712F6E7E"/>
    <w:multiLevelType w:val="hybridMultilevel"/>
    <w:tmpl w:val="9B50E3D2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>
    <w:nsid w:val="735F5E38"/>
    <w:multiLevelType w:val="multilevel"/>
    <w:tmpl w:val="BCC2F094"/>
    <w:lvl w:ilvl="0">
      <w:start w:val="2"/>
      <w:numFmt w:val="decimal"/>
      <w:lvlText w:val="%1"/>
      <w:lvlJc w:val="left"/>
      <w:pPr>
        <w:ind w:left="435" w:hanging="435"/>
      </w:pPr>
      <w:rPr>
        <w:rFonts w:ascii="Arial" w:eastAsia="Times New Roman" w:hAnsi="Arial" w:cs="Arial" w:hint="default"/>
        <w:sz w:val="20"/>
        <w:u w:val="non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Arial" w:eastAsia="Times New Roman" w:hAnsi="Arial" w:cs="Arial" w:hint="default"/>
        <w:sz w:val="2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Times New Roman" w:hAnsi="Arial" w:cs="Arial" w:hint="default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Times New Roman" w:hAnsi="Arial" w:cs="Arial" w:hint="default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Times New Roman" w:hAnsi="Arial" w:cs="Arial" w:hint="default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sz w:val="20"/>
        <w:u w:val="none"/>
      </w:rPr>
    </w:lvl>
  </w:abstractNum>
  <w:abstractNum w:abstractNumId="42">
    <w:nsid w:val="796D247F"/>
    <w:multiLevelType w:val="hybridMultilevel"/>
    <w:tmpl w:val="96E69B14"/>
    <w:lvl w:ilvl="0" w:tplc="F496B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38"/>
  </w:num>
  <w:num w:numId="5">
    <w:abstractNumId w:val="17"/>
  </w:num>
  <w:num w:numId="6">
    <w:abstractNumId w:val="5"/>
  </w:num>
  <w:num w:numId="7">
    <w:abstractNumId w:val="18"/>
  </w:num>
  <w:num w:numId="8">
    <w:abstractNumId w:val="30"/>
  </w:num>
  <w:num w:numId="9">
    <w:abstractNumId w:val="6"/>
  </w:num>
  <w:num w:numId="10">
    <w:abstractNumId w:val="31"/>
  </w:num>
  <w:num w:numId="11">
    <w:abstractNumId w:val="35"/>
  </w:num>
  <w:num w:numId="12">
    <w:abstractNumId w:val="25"/>
  </w:num>
  <w:num w:numId="13">
    <w:abstractNumId w:val="24"/>
  </w:num>
  <w:num w:numId="14">
    <w:abstractNumId w:val="34"/>
  </w:num>
  <w:num w:numId="15">
    <w:abstractNumId w:val="8"/>
  </w:num>
  <w:num w:numId="16">
    <w:abstractNumId w:val="12"/>
  </w:num>
  <w:num w:numId="17">
    <w:abstractNumId w:val="26"/>
  </w:num>
  <w:num w:numId="18">
    <w:abstractNumId w:val="29"/>
  </w:num>
  <w:num w:numId="19">
    <w:abstractNumId w:val="19"/>
  </w:num>
  <w:num w:numId="20">
    <w:abstractNumId w:val="21"/>
  </w:num>
  <w:num w:numId="21">
    <w:abstractNumId w:val="28"/>
  </w:num>
  <w:num w:numId="22">
    <w:abstractNumId w:val="11"/>
  </w:num>
  <w:num w:numId="23">
    <w:abstractNumId w:val="33"/>
  </w:num>
  <w:num w:numId="24">
    <w:abstractNumId w:val="16"/>
  </w:num>
  <w:num w:numId="25">
    <w:abstractNumId w:val="7"/>
  </w:num>
  <w:num w:numId="26">
    <w:abstractNumId w:val="39"/>
  </w:num>
  <w:num w:numId="27">
    <w:abstractNumId w:val="22"/>
  </w:num>
  <w:num w:numId="28">
    <w:abstractNumId w:val="23"/>
  </w:num>
  <w:num w:numId="29">
    <w:abstractNumId w:val="27"/>
  </w:num>
  <w:num w:numId="30">
    <w:abstractNumId w:val="40"/>
  </w:num>
  <w:num w:numId="31">
    <w:abstractNumId w:val="32"/>
  </w:num>
  <w:num w:numId="32">
    <w:abstractNumId w:val="41"/>
  </w:num>
  <w:num w:numId="33">
    <w:abstractNumId w:val="36"/>
  </w:num>
  <w:num w:numId="34">
    <w:abstractNumId w:val="14"/>
  </w:num>
  <w:num w:numId="35">
    <w:abstractNumId w:val="42"/>
  </w:num>
  <w:num w:numId="36">
    <w:abstractNumId w:val="15"/>
  </w:num>
  <w:num w:numId="37">
    <w:abstractNumId w:val="10"/>
  </w:num>
  <w:num w:numId="38">
    <w:abstractNumId w:val="3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34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21681"/>
    <w:rsid w:val="00000D92"/>
    <w:rsid w:val="0000496E"/>
    <w:rsid w:val="00014917"/>
    <w:rsid w:val="00015764"/>
    <w:rsid w:val="00022065"/>
    <w:rsid w:val="00025DF9"/>
    <w:rsid w:val="00032170"/>
    <w:rsid w:val="000419A9"/>
    <w:rsid w:val="00044262"/>
    <w:rsid w:val="000459F7"/>
    <w:rsid w:val="00057F4E"/>
    <w:rsid w:val="000606DD"/>
    <w:rsid w:val="00070A35"/>
    <w:rsid w:val="000772E6"/>
    <w:rsid w:val="00083D57"/>
    <w:rsid w:val="00083EF7"/>
    <w:rsid w:val="00091DBA"/>
    <w:rsid w:val="000972DF"/>
    <w:rsid w:val="000A2EAD"/>
    <w:rsid w:val="000A78D9"/>
    <w:rsid w:val="000B0B13"/>
    <w:rsid w:val="000B1E64"/>
    <w:rsid w:val="000B247B"/>
    <w:rsid w:val="000B5589"/>
    <w:rsid w:val="000B7878"/>
    <w:rsid w:val="000C2B6D"/>
    <w:rsid w:val="000D3722"/>
    <w:rsid w:val="000E3F66"/>
    <w:rsid w:val="000E6B24"/>
    <w:rsid w:val="000F4593"/>
    <w:rsid w:val="00103DEC"/>
    <w:rsid w:val="00104F55"/>
    <w:rsid w:val="001201E7"/>
    <w:rsid w:val="00121681"/>
    <w:rsid w:val="001222E9"/>
    <w:rsid w:val="00124C3D"/>
    <w:rsid w:val="00126AF9"/>
    <w:rsid w:val="00145C2E"/>
    <w:rsid w:val="00151D25"/>
    <w:rsid w:val="00161EF2"/>
    <w:rsid w:val="001713DB"/>
    <w:rsid w:val="00174BB5"/>
    <w:rsid w:val="00180C01"/>
    <w:rsid w:val="00180F6E"/>
    <w:rsid w:val="00181CE2"/>
    <w:rsid w:val="00195237"/>
    <w:rsid w:val="001C499D"/>
    <w:rsid w:val="001C7C63"/>
    <w:rsid w:val="001D0EDB"/>
    <w:rsid w:val="001D5911"/>
    <w:rsid w:val="001E35C8"/>
    <w:rsid w:val="001F016B"/>
    <w:rsid w:val="001F169A"/>
    <w:rsid w:val="001F65DD"/>
    <w:rsid w:val="001F6D73"/>
    <w:rsid w:val="00221B2D"/>
    <w:rsid w:val="00231B23"/>
    <w:rsid w:val="00243D63"/>
    <w:rsid w:val="00250FF7"/>
    <w:rsid w:val="00261BE6"/>
    <w:rsid w:val="0026555B"/>
    <w:rsid w:val="00273BE7"/>
    <w:rsid w:val="00280120"/>
    <w:rsid w:val="00281EBA"/>
    <w:rsid w:val="00290171"/>
    <w:rsid w:val="00291994"/>
    <w:rsid w:val="0029641F"/>
    <w:rsid w:val="0029704A"/>
    <w:rsid w:val="00297652"/>
    <w:rsid w:val="00297DCC"/>
    <w:rsid w:val="002A18CF"/>
    <w:rsid w:val="002A6D23"/>
    <w:rsid w:val="002B1347"/>
    <w:rsid w:val="002B3AE2"/>
    <w:rsid w:val="002C488F"/>
    <w:rsid w:val="002D72C8"/>
    <w:rsid w:val="002E3630"/>
    <w:rsid w:val="003020AF"/>
    <w:rsid w:val="00302EF8"/>
    <w:rsid w:val="00337704"/>
    <w:rsid w:val="003524FE"/>
    <w:rsid w:val="0036287E"/>
    <w:rsid w:val="00364B0C"/>
    <w:rsid w:val="0038054A"/>
    <w:rsid w:val="00392F81"/>
    <w:rsid w:val="003C271D"/>
    <w:rsid w:val="003C703D"/>
    <w:rsid w:val="003D298F"/>
    <w:rsid w:val="003D5139"/>
    <w:rsid w:val="003D576C"/>
    <w:rsid w:val="003D5D93"/>
    <w:rsid w:val="003D72AE"/>
    <w:rsid w:val="003F064D"/>
    <w:rsid w:val="003F17B1"/>
    <w:rsid w:val="00406A0E"/>
    <w:rsid w:val="004114CA"/>
    <w:rsid w:val="00420F5F"/>
    <w:rsid w:val="00422554"/>
    <w:rsid w:val="00431ECF"/>
    <w:rsid w:val="00436FC5"/>
    <w:rsid w:val="00443770"/>
    <w:rsid w:val="00447636"/>
    <w:rsid w:val="004517DE"/>
    <w:rsid w:val="00480587"/>
    <w:rsid w:val="00480910"/>
    <w:rsid w:val="00493F48"/>
    <w:rsid w:val="00496AA1"/>
    <w:rsid w:val="00497966"/>
    <w:rsid w:val="004A79CE"/>
    <w:rsid w:val="004B2D17"/>
    <w:rsid w:val="004B4BB2"/>
    <w:rsid w:val="004C1BD3"/>
    <w:rsid w:val="004D27A8"/>
    <w:rsid w:val="004E0BCC"/>
    <w:rsid w:val="004E3A7B"/>
    <w:rsid w:val="004E671A"/>
    <w:rsid w:val="004F61B8"/>
    <w:rsid w:val="005018FF"/>
    <w:rsid w:val="0050309F"/>
    <w:rsid w:val="005176B3"/>
    <w:rsid w:val="005220EC"/>
    <w:rsid w:val="00523A16"/>
    <w:rsid w:val="00524201"/>
    <w:rsid w:val="00524BE4"/>
    <w:rsid w:val="00526B2D"/>
    <w:rsid w:val="00532B7D"/>
    <w:rsid w:val="005361AF"/>
    <w:rsid w:val="00537259"/>
    <w:rsid w:val="00560C2D"/>
    <w:rsid w:val="005629ED"/>
    <w:rsid w:val="00572480"/>
    <w:rsid w:val="00574837"/>
    <w:rsid w:val="00576177"/>
    <w:rsid w:val="005876D7"/>
    <w:rsid w:val="0059320C"/>
    <w:rsid w:val="0059322F"/>
    <w:rsid w:val="00593DAF"/>
    <w:rsid w:val="005B0423"/>
    <w:rsid w:val="005C09D6"/>
    <w:rsid w:val="005C170D"/>
    <w:rsid w:val="005C7159"/>
    <w:rsid w:val="005D176E"/>
    <w:rsid w:val="005D5082"/>
    <w:rsid w:val="005E1DE5"/>
    <w:rsid w:val="005E315D"/>
    <w:rsid w:val="005E4AE3"/>
    <w:rsid w:val="005E5108"/>
    <w:rsid w:val="006120B5"/>
    <w:rsid w:val="0061255F"/>
    <w:rsid w:val="00612E5F"/>
    <w:rsid w:val="0061350A"/>
    <w:rsid w:val="0062578B"/>
    <w:rsid w:val="006325AF"/>
    <w:rsid w:val="00634E43"/>
    <w:rsid w:val="00635656"/>
    <w:rsid w:val="00656DAE"/>
    <w:rsid w:val="00657682"/>
    <w:rsid w:val="006614E8"/>
    <w:rsid w:val="00670969"/>
    <w:rsid w:val="0067397D"/>
    <w:rsid w:val="0067692A"/>
    <w:rsid w:val="00677AB2"/>
    <w:rsid w:val="00691FDB"/>
    <w:rsid w:val="006A1983"/>
    <w:rsid w:val="006A526E"/>
    <w:rsid w:val="006B576B"/>
    <w:rsid w:val="006B5D6A"/>
    <w:rsid w:val="006C0D67"/>
    <w:rsid w:val="006C69EC"/>
    <w:rsid w:val="006C6DB8"/>
    <w:rsid w:val="006D1B30"/>
    <w:rsid w:val="006D2048"/>
    <w:rsid w:val="006E0946"/>
    <w:rsid w:val="006F72EA"/>
    <w:rsid w:val="0071431A"/>
    <w:rsid w:val="00720582"/>
    <w:rsid w:val="00722241"/>
    <w:rsid w:val="00723363"/>
    <w:rsid w:val="0072377B"/>
    <w:rsid w:val="00727BB8"/>
    <w:rsid w:val="00732FE2"/>
    <w:rsid w:val="007530AB"/>
    <w:rsid w:val="00763232"/>
    <w:rsid w:val="00786B0F"/>
    <w:rsid w:val="007970E4"/>
    <w:rsid w:val="0079716C"/>
    <w:rsid w:val="007A1578"/>
    <w:rsid w:val="007B7516"/>
    <w:rsid w:val="007C205E"/>
    <w:rsid w:val="007D3689"/>
    <w:rsid w:val="007D40BF"/>
    <w:rsid w:val="007E1857"/>
    <w:rsid w:val="007E5B47"/>
    <w:rsid w:val="007E5FB2"/>
    <w:rsid w:val="007F00AD"/>
    <w:rsid w:val="007F6BA6"/>
    <w:rsid w:val="007F6C83"/>
    <w:rsid w:val="007F7999"/>
    <w:rsid w:val="00805089"/>
    <w:rsid w:val="00807341"/>
    <w:rsid w:val="00807AFB"/>
    <w:rsid w:val="00816DCC"/>
    <w:rsid w:val="0081724E"/>
    <w:rsid w:val="00820814"/>
    <w:rsid w:val="0082414D"/>
    <w:rsid w:val="00845C40"/>
    <w:rsid w:val="008607D1"/>
    <w:rsid w:val="0086360C"/>
    <w:rsid w:val="00866E4F"/>
    <w:rsid w:val="00875E26"/>
    <w:rsid w:val="0088411C"/>
    <w:rsid w:val="0088502C"/>
    <w:rsid w:val="008866CB"/>
    <w:rsid w:val="0089026E"/>
    <w:rsid w:val="00895A86"/>
    <w:rsid w:val="00897C34"/>
    <w:rsid w:val="008A10FB"/>
    <w:rsid w:val="008A2B39"/>
    <w:rsid w:val="008A4BFD"/>
    <w:rsid w:val="008C4B2F"/>
    <w:rsid w:val="008D1E8D"/>
    <w:rsid w:val="008E0658"/>
    <w:rsid w:val="008E6D6D"/>
    <w:rsid w:val="008F0F87"/>
    <w:rsid w:val="008F48DA"/>
    <w:rsid w:val="00901AF7"/>
    <w:rsid w:val="009029C6"/>
    <w:rsid w:val="00903CE1"/>
    <w:rsid w:val="009048F4"/>
    <w:rsid w:val="00905015"/>
    <w:rsid w:val="00914951"/>
    <w:rsid w:val="00917EDE"/>
    <w:rsid w:val="00922CFD"/>
    <w:rsid w:val="00926412"/>
    <w:rsid w:val="00926CB2"/>
    <w:rsid w:val="00932FEA"/>
    <w:rsid w:val="00950EB8"/>
    <w:rsid w:val="00955E1D"/>
    <w:rsid w:val="00957E9F"/>
    <w:rsid w:val="00961C30"/>
    <w:rsid w:val="00965F14"/>
    <w:rsid w:val="00967E43"/>
    <w:rsid w:val="00981B7A"/>
    <w:rsid w:val="00987E6D"/>
    <w:rsid w:val="009903E7"/>
    <w:rsid w:val="00996D3F"/>
    <w:rsid w:val="0099703E"/>
    <w:rsid w:val="009973D8"/>
    <w:rsid w:val="009A2D89"/>
    <w:rsid w:val="009B1B7F"/>
    <w:rsid w:val="009C553E"/>
    <w:rsid w:val="009D15DB"/>
    <w:rsid w:val="009D1E26"/>
    <w:rsid w:val="009E0C1D"/>
    <w:rsid w:val="009E7D98"/>
    <w:rsid w:val="00A06798"/>
    <w:rsid w:val="00A077F5"/>
    <w:rsid w:val="00A16439"/>
    <w:rsid w:val="00A2556C"/>
    <w:rsid w:val="00A30DC3"/>
    <w:rsid w:val="00A31E5D"/>
    <w:rsid w:val="00A34050"/>
    <w:rsid w:val="00A344C3"/>
    <w:rsid w:val="00A42AEC"/>
    <w:rsid w:val="00A437A4"/>
    <w:rsid w:val="00A43D85"/>
    <w:rsid w:val="00A84384"/>
    <w:rsid w:val="00A862A9"/>
    <w:rsid w:val="00A95B98"/>
    <w:rsid w:val="00A96487"/>
    <w:rsid w:val="00AA3A74"/>
    <w:rsid w:val="00AA5F08"/>
    <w:rsid w:val="00AA7225"/>
    <w:rsid w:val="00AB73BC"/>
    <w:rsid w:val="00AC4DFB"/>
    <w:rsid w:val="00AC556E"/>
    <w:rsid w:val="00AD182A"/>
    <w:rsid w:val="00AD3AC3"/>
    <w:rsid w:val="00AD3D4A"/>
    <w:rsid w:val="00AE0D1D"/>
    <w:rsid w:val="00AE5208"/>
    <w:rsid w:val="00AF46F0"/>
    <w:rsid w:val="00B005E6"/>
    <w:rsid w:val="00B006FA"/>
    <w:rsid w:val="00B00837"/>
    <w:rsid w:val="00B00C63"/>
    <w:rsid w:val="00B1673E"/>
    <w:rsid w:val="00B2042E"/>
    <w:rsid w:val="00B208AE"/>
    <w:rsid w:val="00B219ED"/>
    <w:rsid w:val="00B41B2A"/>
    <w:rsid w:val="00B422F6"/>
    <w:rsid w:val="00B4322D"/>
    <w:rsid w:val="00B45BAA"/>
    <w:rsid w:val="00B53F04"/>
    <w:rsid w:val="00B6065A"/>
    <w:rsid w:val="00B643B8"/>
    <w:rsid w:val="00B66BBF"/>
    <w:rsid w:val="00B717CA"/>
    <w:rsid w:val="00B73659"/>
    <w:rsid w:val="00B761CA"/>
    <w:rsid w:val="00B77A0C"/>
    <w:rsid w:val="00B95E74"/>
    <w:rsid w:val="00B96779"/>
    <w:rsid w:val="00BA4563"/>
    <w:rsid w:val="00BC441B"/>
    <w:rsid w:val="00BD3CD1"/>
    <w:rsid w:val="00BF0093"/>
    <w:rsid w:val="00BF18DF"/>
    <w:rsid w:val="00C02539"/>
    <w:rsid w:val="00C044ED"/>
    <w:rsid w:val="00C14DBE"/>
    <w:rsid w:val="00C17178"/>
    <w:rsid w:val="00C36610"/>
    <w:rsid w:val="00C42103"/>
    <w:rsid w:val="00C42B97"/>
    <w:rsid w:val="00C47CB2"/>
    <w:rsid w:val="00C63748"/>
    <w:rsid w:val="00C66345"/>
    <w:rsid w:val="00C6655A"/>
    <w:rsid w:val="00C84F1D"/>
    <w:rsid w:val="00C87476"/>
    <w:rsid w:val="00C907AA"/>
    <w:rsid w:val="00C91BBE"/>
    <w:rsid w:val="00C91EF3"/>
    <w:rsid w:val="00CA0E44"/>
    <w:rsid w:val="00CA6952"/>
    <w:rsid w:val="00CA6D54"/>
    <w:rsid w:val="00CB30E4"/>
    <w:rsid w:val="00CB3919"/>
    <w:rsid w:val="00CB3B42"/>
    <w:rsid w:val="00CC268D"/>
    <w:rsid w:val="00CC626B"/>
    <w:rsid w:val="00CD018A"/>
    <w:rsid w:val="00CD3720"/>
    <w:rsid w:val="00CD3AC1"/>
    <w:rsid w:val="00CD5D08"/>
    <w:rsid w:val="00CD7211"/>
    <w:rsid w:val="00CE28CA"/>
    <w:rsid w:val="00CE32DD"/>
    <w:rsid w:val="00CE5684"/>
    <w:rsid w:val="00D07121"/>
    <w:rsid w:val="00D17F04"/>
    <w:rsid w:val="00D22176"/>
    <w:rsid w:val="00D30F92"/>
    <w:rsid w:val="00D532E0"/>
    <w:rsid w:val="00D5612B"/>
    <w:rsid w:val="00D56C97"/>
    <w:rsid w:val="00D9368E"/>
    <w:rsid w:val="00D94343"/>
    <w:rsid w:val="00D9503D"/>
    <w:rsid w:val="00DB29C3"/>
    <w:rsid w:val="00DB5AF6"/>
    <w:rsid w:val="00DB5FDF"/>
    <w:rsid w:val="00DC05E6"/>
    <w:rsid w:val="00DC43A5"/>
    <w:rsid w:val="00DC706E"/>
    <w:rsid w:val="00DD1E99"/>
    <w:rsid w:val="00DD43EA"/>
    <w:rsid w:val="00DD65B7"/>
    <w:rsid w:val="00DE3E35"/>
    <w:rsid w:val="00DF4CF8"/>
    <w:rsid w:val="00E011C8"/>
    <w:rsid w:val="00E012F6"/>
    <w:rsid w:val="00E06B2E"/>
    <w:rsid w:val="00E135BE"/>
    <w:rsid w:val="00E151B6"/>
    <w:rsid w:val="00E2215F"/>
    <w:rsid w:val="00E2504C"/>
    <w:rsid w:val="00E26678"/>
    <w:rsid w:val="00E32C83"/>
    <w:rsid w:val="00E36B77"/>
    <w:rsid w:val="00E40EA7"/>
    <w:rsid w:val="00E41561"/>
    <w:rsid w:val="00E73606"/>
    <w:rsid w:val="00E8478C"/>
    <w:rsid w:val="00EA4E4D"/>
    <w:rsid w:val="00EB1413"/>
    <w:rsid w:val="00EB2C1E"/>
    <w:rsid w:val="00EB62D0"/>
    <w:rsid w:val="00EC0604"/>
    <w:rsid w:val="00EC34B8"/>
    <w:rsid w:val="00ED0C47"/>
    <w:rsid w:val="00ED408E"/>
    <w:rsid w:val="00EE6641"/>
    <w:rsid w:val="00F1163A"/>
    <w:rsid w:val="00F124B3"/>
    <w:rsid w:val="00F210C2"/>
    <w:rsid w:val="00F21B60"/>
    <w:rsid w:val="00F258F6"/>
    <w:rsid w:val="00F25C9A"/>
    <w:rsid w:val="00F3703C"/>
    <w:rsid w:val="00F417A2"/>
    <w:rsid w:val="00F4489B"/>
    <w:rsid w:val="00F471A3"/>
    <w:rsid w:val="00F50EE0"/>
    <w:rsid w:val="00F521AF"/>
    <w:rsid w:val="00F60D2B"/>
    <w:rsid w:val="00F710D0"/>
    <w:rsid w:val="00F7347A"/>
    <w:rsid w:val="00F76C78"/>
    <w:rsid w:val="00F770FC"/>
    <w:rsid w:val="00F82CD8"/>
    <w:rsid w:val="00F84C64"/>
    <w:rsid w:val="00F949E5"/>
    <w:rsid w:val="00F9531A"/>
    <w:rsid w:val="00F979E5"/>
    <w:rsid w:val="00FA1DEA"/>
    <w:rsid w:val="00FB0C56"/>
    <w:rsid w:val="00FC0DA3"/>
    <w:rsid w:val="00FC6E59"/>
    <w:rsid w:val="00FD0AAB"/>
    <w:rsid w:val="00FD509D"/>
    <w:rsid w:val="00FE4EC5"/>
    <w:rsid w:val="00FF6526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169A"/>
    <w:pPr>
      <w:spacing w:after="0" w:line="240" w:lineRule="auto"/>
    </w:pPr>
    <w:rPr>
      <w:sz w:val="24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locked/>
    <w:rsid w:val="006120B5"/>
    <w:pPr>
      <w:keepNext/>
      <w:numPr>
        <w:numId w:val="2"/>
      </w:numPr>
      <w:suppressAutoHyphens/>
      <w:spacing w:before="600" w:after="240"/>
      <w:jc w:val="center"/>
      <w:outlineLvl w:val="0"/>
    </w:pPr>
    <w:rPr>
      <w:rFonts w:ascii="Arial" w:hAnsi="Arial"/>
      <w:b/>
      <w:spacing w:val="-2"/>
      <w:sz w:val="20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1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aliases w:val="H5"/>
    <w:basedOn w:val="Normln"/>
    <w:next w:val="Normln"/>
    <w:link w:val="Nadpis5Char"/>
    <w:qFormat/>
    <w:locked/>
    <w:rsid w:val="006120B5"/>
    <w:pPr>
      <w:numPr>
        <w:ilvl w:val="4"/>
        <w:numId w:val="2"/>
      </w:numPr>
      <w:spacing w:before="240" w:after="60"/>
      <w:outlineLvl w:val="4"/>
    </w:pPr>
    <w:rPr>
      <w:rFonts w:ascii="Courier" w:hAnsi="Courier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locked/>
    <w:rsid w:val="006120B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aliases w:val="H7,Appendix"/>
    <w:basedOn w:val="Normln"/>
    <w:next w:val="Normln"/>
    <w:link w:val="Nadpis7Char"/>
    <w:qFormat/>
    <w:locked/>
    <w:rsid w:val="006120B5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aliases w:val="H8,Appendix1"/>
    <w:basedOn w:val="Normln"/>
    <w:next w:val="Normln"/>
    <w:link w:val="Nadpis8Char"/>
    <w:qFormat/>
    <w:locked/>
    <w:rsid w:val="006120B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H9"/>
    <w:basedOn w:val="Normln"/>
    <w:next w:val="Normln"/>
    <w:link w:val="Nadpis9Char"/>
    <w:qFormat/>
    <w:locked/>
    <w:rsid w:val="006120B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F00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009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F00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0093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F0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009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0B5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Normlnweb">
    <w:name w:val="Normal (Web)"/>
    <w:basedOn w:val="Normln"/>
    <w:uiPriority w:val="99"/>
    <w:unhideWhenUsed/>
    <w:rsid w:val="006120B5"/>
    <w:pPr>
      <w:spacing w:before="100" w:beforeAutospacing="1" w:after="100" w:afterAutospacing="1"/>
    </w:pPr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basedOn w:val="Standardnpsmoodstavce"/>
    <w:link w:val="Nadpis1"/>
    <w:rsid w:val="006120B5"/>
    <w:rPr>
      <w:rFonts w:ascii="Arial" w:hAnsi="Arial"/>
      <w:b/>
      <w:spacing w:val="-2"/>
      <w:sz w:val="20"/>
      <w:szCs w:val="20"/>
    </w:rPr>
  </w:style>
  <w:style w:type="character" w:customStyle="1" w:styleId="Nadpis5Char">
    <w:name w:val="Nadpis 5 Char"/>
    <w:aliases w:val="H5 Char"/>
    <w:basedOn w:val="Standardnpsmoodstavce"/>
    <w:link w:val="Nadpis5"/>
    <w:rsid w:val="006120B5"/>
    <w:rPr>
      <w:rFonts w:ascii="Courier" w:hAnsi="Courier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6120B5"/>
    <w:rPr>
      <w:b/>
      <w:bCs/>
    </w:rPr>
  </w:style>
  <w:style w:type="character" w:customStyle="1" w:styleId="Nadpis7Char">
    <w:name w:val="Nadpis 7 Char"/>
    <w:aliases w:val="H7 Char,Appendix Char"/>
    <w:basedOn w:val="Standardnpsmoodstavce"/>
    <w:link w:val="Nadpis7"/>
    <w:rsid w:val="006120B5"/>
    <w:rPr>
      <w:sz w:val="24"/>
      <w:szCs w:val="24"/>
    </w:rPr>
  </w:style>
  <w:style w:type="character" w:customStyle="1" w:styleId="Nadpis8Char">
    <w:name w:val="Nadpis 8 Char"/>
    <w:aliases w:val="H8 Char,Appendix1 Char"/>
    <w:basedOn w:val="Standardnpsmoodstavce"/>
    <w:link w:val="Nadpis8"/>
    <w:rsid w:val="006120B5"/>
    <w:rPr>
      <w:i/>
      <w:iCs/>
      <w:sz w:val="24"/>
      <w:szCs w:val="24"/>
    </w:rPr>
  </w:style>
  <w:style w:type="character" w:customStyle="1" w:styleId="Nadpis9Char">
    <w:name w:val="Nadpis 9 Char"/>
    <w:aliases w:val="H9 Char"/>
    <w:basedOn w:val="Standardnpsmoodstavce"/>
    <w:link w:val="Nadpis9"/>
    <w:rsid w:val="006120B5"/>
    <w:rPr>
      <w:rFonts w:ascii="Arial" w:hAnsi="Arial" w:cs="Arial"/>
    </w:rPr>
  </w:style>
  <w:style w:type="paragraph" w:customStyle="1" w:styleId="Odstavecslovan2">
    <w:name w:val="Odstavec číslovaný 2"/>
    <w:rsid w:val="006120B5"/>
    <w:pPr>
      <w:numPr>
        <w:ilvl w:val="2"/>
        <w:numId w:val="2"/>
      </w:numPr>
      <w:tabs>
        <w:tab w:val="left" w:pos="1418"/>
      </w:tabs>
      <w:spacing w:before="60" w:after="0" w:line="240" w:lineRule="auto"/>
      <w:outlineLvl w:val="2"/>
    </w:pPr>
    <w:rPr>
      <w:rFonts w:ascii="Arial" w:hAnsi="Arial"/>
      <w:sz w:val="20"/>
      <w:szCs w:val="20"/>
    </w:rPr>
  </w:style>
  <w:style w:type="paragraph" w:customStyle="1" w:styleId="Odstavecslovan1">
    <w:name w:val="Odstavec číslovaný 1"/>
    <w:rsid w:val="006120B5"/>
    <w:pPr>
      <w:numPr>
        <w:ilvl w:val="1"/>
        <w:numId w:val="2"/>
      </w:numPr>
      <w:tabs>
        <w:tab w:val="left" w:pos="2835"/>
      </w:tabs>
      <w:suppressAutoHyphens/>
      <w:spacing w:before="120" w:after="0" w:line="240" w:lineRule="auto"/>
      <w:outlineLvl w:val="1"/>
    </w:pPr>
    <w:rPr>
      <w:rFonts w:ascii="Arial" w:hAnsi="Arial"/>
      <w:spacing w:val="-2"/>
      <w:sz w:val="20"/>
      <w:szCs w:val="20"/>
    </w:rPr>
  </w:style>
  <w:style w:type="paragraph" w:customStyle="1" w:styleId="Odstavecslovana">
    <w:name w:val="Odstavec číslovaný a)"/>
    <w:rsid w:val="006120B5"/>
    <w:pPr>
      <w:numPr>
        <w:ilvl w:val="3"/>
        <w:numId w:val="2"/>
      </w:numPr>
      <w:tabs>
        <w:tab w:val="left" w:pos="851"/>
      </w:tabs>
      <w:spacing w:before="60" w:after="0" w:line="240" w:lineRule="auto"/>
      <w:outlineLvl w:val="3"/>
    </w:pPr>
    <w:rPr>
      <w:rFonts w:ascii="Arial" w:hAnsi="Arial"/>
      <w:bCs/>
      <w:sz w:val="20"/>
      <w:szCs w:val="20"/>
    </w:rPr>
  </w:style>
  <w:style w:type="character" w:customStyle="1" w:styleId="s31">
    <w:name w:val="s31"/>
    <w:basedOn w:val="Standardnpsmoodstavce"/>
    <w:rsid w:val="00A42AEC"/>
  </w:style>
  <w:style w:type="paragraph" w:customStyle="1" w:styleId="Standardntext">
    <w:name w:val="Standardní text"/>
    <w:basedOn w:val="Normln"/>
    <w:rsid w:val="00493F48"/>
    <w:pPr>
      <w:suppressAutoHyphens/>
    </w:pPr>
    <w:rPr>
      <w:szCs w:val="20"/>
      <w:lang w:eastAsia="ar-SA"/>
    </w:rPr>
  </w:style>
  <w:style w:type="paragraph" w:styleId="Bezmezer">
    <w:name w:val="No Spacing"/>
    <w:uiPriority w:val="1"/>
    <w:qFormat/>
    <w:rsid w:val="00493F48"/>
    <w:pPr>
      <w:suppressAutoHyphens/>
      <w:spacing w:after="0" w:line="240" w:lineRule="auto"/>
    </w:pPr>
    <w:rPr>
      <w:sz w:val="24"/>
      <w:szCs w:val="24"/>
      <w:lang w:eastAsia="ar-SA"/>
    </w:rPr>
  </w:style>
  <w:style w:type="table" w:styleId="Mkatabulky">
    <w:name w:val="Table Grid"/>
    <w:basedOn w:val="Normlntabulka"/>
    <w:uiPriority w:val="39"/>
    <w:locked/>
    <w:rsid w:val="00DD6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semiHidden/>
    <w:rsid w:val="006135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Zkladntext31">
    <w:name w:val="Základní text 31"/>
    <w:basedOn w:val="Normln"/>
    <w:rsid w:val="0061350A"/>
    <w:pPr>
      <w:spacing w:after="120"/>
    </w:pPr>
    <w:rPr>
      <w:sz w:val="16"/>
      <w:szCs w:val="16"/>
      <w:lang w:eastAsia="ar-SA"/>
    </w:rPr>
  </w:style>
  <w:style w:type="paragraph" w:customStyle="1" w:styleId="Zkladntext21">
    <w:name w:val="Základní text 21"/>
    <w:basedOn w:val="Normln"/>
    <w:rsid w:val="009A2D89"/>
    <w:pPr>
      <w:spacing w:after="120" w:line="480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link w:val="ZkladntextChar"/>
    <w:semiHidden/>
    <w:rsid w:val="00967E43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67E43"/>
    <w:rPr>
      <w:sz w:val="20"/>
      <w:szCs w:val="20"/>
    </w:rPr>
  </w:style>
  <w:style w:type="character" w:styleId="Odkaznakoment">
    <w:name w:val="annotation reference"/>
    <w:basedOn w:val="Standardnpsmoodstavce"/>
    <w:unhideWhenUsed/>
    <w:rsid w:val="008073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073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07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341"/>
    <w:rPr>
      <w:b/>
      <w:bCs/>
      <w:sz w:val="20"/>
      <w:szCs w:val="20"/>
    </w:rPr>
  </w:style>
  <w:style w:type="paragraph" w:customStyle="1" w:styleId="Odstavecseseznamem1">
    <w:name w:val="Odstavec se seznamem1"/>
    <w:basedOn w:val="Normln"/>
    <w:uiPriority w:val="99"/>
    <w:qFormat/>
    <w:rsid w:val="001C499D"/>
    <w:pPr>
      <w:widowControl w:val="0"/>
      <w:suppressAutoHyphens/>
      <w:ind w:left="708"/>
    </w:pPr>
    <w:rPr>
      <w:rFonts w:eastAsia="SimSun" w:cs="Mangal"/>
      <w:kern w:val="1"/>
      <w:szCs w:val="21"/>
      <w:lang w:eastAsia="zh-CN" w:bidi="hi-IN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A2E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A2EAD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A2EA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A2EAD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A2E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A2EAD"/>
    <w:rPr>
      <w:sz w:val="24"/>
      <w:szCs w:val="24"/>
    </w:rPr>
  </w:style>
  <w:style w:type="paragraph" w:customStyle="1" w:styleId="ListParagraph1">
    <w:name w:val="List Paragraph1"/>
    <w:basedOn w:val="Normln"/>
    <w:uiPriority w:val="34"/>
    <w:qFormat/>
    <w:rsid w:val="00574837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zh-CN" w:bidi="hi-IN"/>
    </w:rPr>
  </w:style>
  <w:style w:type="character" w:customStyle="1" w:styleId="fontstyle01">
    <w:name w:val="fontstyle01"/>
    <w:basedOn w:val="Standardnpsmoodstavce"/>
    <w:rsid w:val="00A30DC3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Zkladntextodsazen211b">
    <w:name w:val="Základní text odsazený 2 + 11 b."/>
    <w:aliases w:val="Zarovnat do bloku,Vlevo:  0 cm,Řádkování:...,Vpravo:  -...,Vpravo:  -......Základní text odsazený 2 + 11 b.,Vpravo:  -......"/>
    <w:basedOn w:val="Normln"/>
    <w:uiPriority w:val="99"/>
    <w:rsid w:val="00950EB8"/>
    <w:pPr>
      <w:autoSpaceDE w:val="0"/>
      <w:autoSpaceDN w:val="0"/>
      <w:adjustRightInd w:val="0"/>
      <w:spacing w:before="120"/>
      <w:ind w:left="420"/>
      <w:jc w:val="both"/>
    </w:pPr>
    <w:rPr>
      <w:rFonts w:eastAsia="Calibri"/>
    </w:rPr>
  </w:style>
  <w:style w:type="paragraph" w:customStyle="1" w:styleId="Normln11b">
    <w:name w:val="Normální + 11 b."/>
    <w:basedOn w:val="Normln"/>
    <w:uiPriority w:val="99"/>
    <w:rsid w:val="00950EB8"/>
    <w:pPr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B62A-2A50-4DD3-A577-A0B5F080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Město Úvaly</dc:creator>
  <cp:lastModifiedBy>EDALEWA</cp:lastModifiedBy>
  <cp:revision>3</cp:revision>
  <cp:lastPrinted>2016-05-25T15:06:00Z</cp:lastPrinted>
  <dcterms:created xsi:type="dcterms:W3CDTF">2018-10-26T10:29:00Z</dcterms:created>
  <dcterms:modified xsi:type="dcterms:W3CDTF">2018-11-06T21:58:00Z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